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8A" w:rsidRPr="00583832" w:rsidRDefault="00AB4B8A" w:rsidP="00AB4B8A">
      <w:pPr>
        <w:jc w:val="center"/>
        <w:rPr>
          <w:b/>
          <w:bCs/>
          <w:color w:val="000000"/>
        </w:rPr>
      </w:pPr>
      <w:r w:rsidRPr="00583832">
        <w:rPr>
          <w:b/>
          <w:bCs/>
          <w:color w:val="000000"/>
        </w:rPr>
        <w:t>2010/6 SAYILI “</w:t>
      </w:r>
      <w:r w:rsidRPr="00583832">
        <w:rPr>
          <w:b/>
        </w:rPr>
        <w:t>YURT DIŞI BİRİM, MARKA VE TANITIM FAALİYETLERİNİN DESTEKLENMESİ HAKKINDA TEBLİĞ”İN UYGULAMA USUL VE ESASLARI GENELGESİNE</w:t>
      </w:r>
      <w:r w:rsidRPr="00583832">
        <w:rPr>
          <w:b/>
          <w:bCs/>
          <w:color w:val="000000"/>
        </w:rPr>
        <w:t xml:space="preserve"> İLİŞKİN </w:t>
      </w:r>
      <w:r w:rsidR="006631E7">
        <w:rPr>
          <w:b/>
          <w:bCs/>
          <w:color w:val="000000"/>
        </w:rPr>
        <w:t>KARŞILAŞTIRMA</w:t>
      </w:r>
      <w:r w:rsidRPr="00583832">
        <w:rPr>
          <w:b/>
          <w:bCs/>
          <w:color w:val="000000"/>
        </w:rPr>
        <w:t xml:space="preserve"> TABLOSU</w:t>
      </w:r>
    </w:p>
    <w:tbl>
      <w:tblPr>
        <w:tblStyle w:val="TabloKlavuzu"/>
        <w:tblpPr w:leftFromText="141" w:rightFromText="141" w:vertAnchor="text" w:horzAnchor="margin" w:tblpY="118"/>
        <w:tblW w:w="14171" w:type="dxa"/>
        <w:tblLayout w:type="fixed"/>
        <w:tblLook w:val="04A0" w:firstRow="1" w:lastRow="0" w:firstColumn="1" w:lastColumn="0" w:noHBand="0" w:noVBand="1"/>
      </w:tblPr>
      <w:tblGrid>
        <w:gridCol w:w="4957"/>
        <w:gridCol w:w="4961"/>
        <w:gridCol w:w="4253"/>
      </w:tblGrid>
      <w:tr w:rsidR="00FA6A6F" w:rsidRPr="00583832" w:rsidTr="0098154A">
        <w:tc>
          <w:tcPr>
            <w:tcW w:w="4957" w:type="dxa"/>
          </w:tcPr>
          <w:p w:rsidR="00FA6A6F" w:rsidRPr="00583832" w:rsidRDefault="00FA6A6F" w:rsidP="00FA6A6F">
            <w:pPr>
              <w:jc w:val="center"/>
            </w:pPr>
            <w:r w:rsidRPr="00583832">
              <w:rPr>
                <w:b/>
                <w:bCs/>
                <w:color w:val="000000"/>
              </w:rPr>
              <w:t>ESKİ MADDE</w:t>
            </w:r>
          </w:p>
        </w:tc>
        <w:tc>
          <w:tcPr>
            <w:tcW w:w="4961" w:type="dxa"/>
          </w:tcPr>
          <w:p w:rsidR="00FA6A6F" w:rsidRPr="00583832" w:rsidRDefault="00FA6A6F" w:rsidP="00FA6A6F">
            <w:pPr>
              <w:jc w:val="center"/>
              <w:rPr>
                <w:b/>
              </w:rPr>
            </w:pPr>
            <w:r w:rsidRPr="00583832">
              <w:rPr>
                <w:b/>
              </w:rPr>
              <w:t>YENİ MADDE</w:t>
            </w:r>
          </w:p>
        </w:tc>
        <w:tc>
          <w:tcPr>
            <w:tcW w:w="4253" w:type="dxa"/>
          </w:tcPr>
          <w:p w:rsidR="00FA6A6F" w:rsidRPr="00583832" w:rsidRDefault="00FA6A6F" w:rsidP="00FA6A6F">
            <w:pPr>
              <w:jc w:val="center"/>
              <w:rPr>
                <w:b/>
                <w:bCs/>
                <w:color w:val="000000"/>
              </w:rPr>
            </w:pPr>
            <w:r w:rsidRPr="00583832">
              <w:rPr>
                <w:b/>
                <w:bCs/>
                <w:color w:val="000000"/>
              </w:rPr>
              <w:t xml:space="preserve">GEREKÇE </w:t>
            </w:r>
          </w:p>
        </w:tc>
      </w:tr>
      <w:tr w:rsidR="00F81DD9" w:rsidRPr="00583832" w:rsidTr="0098154A">
        <w:tc>
          <w:tcPr>
            <w:tcW w:w="4957" w:type="dxa"/>
          </w:tcPr>
          <w:p w:rsidR="00DE06DB" w:rsidRPr="006361B5" w:rsidRDefault="00DE06DB" w:rsidP="00DE06DB">
            <w:pPr>
              <w:jc w:val="both"/>
            </w:pPr>
            <w:r w:rsidRPr="006361B5">
              <w:rPr>
                <w:b/>
                <w:bCs/>
              </w:rPr>
              <w:t xml:space="preserve">MADDE 3 – </w:t>
            </w:r>
            <w:r w:rsidRPr="006361B5">
              <w:rPr>
                <w:bCs/>
              </w:rPr>
              <w:t xml:space="preserve">(1) </w:t>
            </w:r>
            <w:r w:rsidRPr="006361B5">
              <w:t xml:space="preserve">Bu Genelge, </w:t>
            </w:r>
            <w:r w:rsidRPr="00DE06DB">
              <w:rPr>
                <w:strike/>
              </w:rPr>
              <w:t xml:space="preserve">Türkiye’de sınai ve/veya ticari faaliyette bulunan </w:t>
            </w:r>
            <w:r w:rsidRPr="006361B5">
              <w:t>şirketler</w:t>
            </w:r>
            <w:r>
              <w:t xml:space="preserve"> </w:t>
            </w:r>
            <w:r w:rsidRPr="00A32E8C">
              <w:rPr>
                <w:strike/>
              </w:rPr>
              <w:t xml:space="preserve">ile </w:t>
            </w:r>
            <w:r w:rsidRPr="006361B5">
              <w:t>İşbirliği Kuruluşları</w:t>
            </w:r>
            <w:r>
              <w:t xml:space="preserve">na </w:t>
            </w:r>
            <w:r w:rsidRPr="006361B5">
              <w:rPr>
                <w:bCs/>
              </w:rPr>
              <w:t xml:space="preserve">2010/6 sayılı Tebliğ </w:t>
            </w:r>
            <w:r w:rsidRPr="006361B5">
              <w:t xml:space="preserve">çerçevesinde verilen desteklere ilişkin usul ve esasları kapsar.  </w:t>
            </w:r>
          </w:p>
          <w:p w:rsidR="00F81DD9" w:rsidRPr="00F81DD9" w:rsidRDefault="00F81DD9" w:rsidP="00F81DD9">
            <w:pPr>
              <w:spacing w:after="200" w:line="276" w:lineRule="auto"/>
              <w:jc w:val="both"/>
              <w:rPr>
                <w:rFonts w:eastAsia="Calibri"/>
              </w:rPr>
            </w:pPr>
          </w:p>
        </w:tc>
        <w:tc>
          <w:tcPr>
            <w:tcW w:w="4961" w:type="dxa"/>
          </w:tcPr>
          <w:p w:rsidR="00DE06DB" w:rsidRPr="006361B5" w:rsidRDefault="00DE06DB" w:rsidP="00DE06DB">
            <w:pPr>
              <w:jc w:val="both"/>
            </w:pPr>
            <w:r w:rsidRPr="006361B5">
              <w:rPr>
                <w:b/>
                <w:bCs/>
              </w:rPr>
              <w:t xml:space="preserve">MADDE 3 – </w:t>
            </w:r>
            <w:r w:rsidR="00E23ED4" w:rsidRPr="00512DCC">
              <w:t>(1) Bu Genelge ş</w:t>
            </w:r>
            <w:r w:rsidR="00A32E8C">
              <w:t xml:space="preserve">irketler </w:t>
            </w:r>
            <w:r w:rsidR="00A32E8C" w:rsidRPr="00A32E8C">
              <w:rPr>
                <w:b/>
              </w:rPr>
              <w:t>ve</w:t>
            </w:r>
            <w:r w:rsidR="00E23ED4">
              <w:t xml:space="preserve"> İşbirliği Kuruluşlarına </w:t>
            </w:r>
            <w:r w:rsidR="00E23ED4" w:rsidRPr="00512DCC">
              <w:t xml:space="preserve">2010/6 sayılı Tebliğ </w:t>
            </w:r>
            <w:r w:rsidR="00E23ED4">
              <w:t xml:space="preserve">çerçevesinde verilen destekler </w:t>
            </w:r>
            <w:r w:rsidR="00E23ED4" w:rsidRPr="00512DCC">
              <w:t xml:space="preserve">ile </w:t>
            </w:r>
            <w:r w:rsidR="00E23ED4" w:rsidRPr="00A32E8C">
              <w:rPr>
                <w:b/>
              </w:rPr>
              <w:t>Türkiye Ticaret Merkezlerine (TTM)</w:t>
            </w:r>
            <w:r w:rsidR="00E23ED4" w:rsidRPr="00512DCC">
              <w:t xml:space="preserve"> i</w:t>
            </w:r>
            <w:r w:rsidR="00E23ED4">
              <w:t>lişkin usul ve esasları kapsar.</w:t>
            </w:r>
          </w:p>
          <w:p w:rsidR="00F81DD9" w:rsidRPr="006361B5" w:rsidRDefault="00F81DD9" w:rsidP="00F81DD9">
            <w:pPr>
              <w:jc w:val="both"/>
              <w:rPr>
                <w:rFonts w:eastAsia="Calibri"/>
                <w:b/>
              </w:rPr>
            </w:pPr>
          </w:p>
        </w:tc>
        <w:tc>
          <w:tcPr>
            <w:tcW w:w="4253" w:type="dxa"/>
          </w:tcPr>
          <w:p w:rsidR="00F81DD9" w:rsidRDefault="00B10D77" w:rsidP="00F81DD9">
            <w:pPr>
              <w:jc w:val="both"/>
              <w:rPr>
                <w:bCs/>
              </w:rPr>
            </w:pPr>
            <w:r>
              <w:rPr>
                <w:bCs/>
              </w:rPr>
              <w:t xml:space="preserve">Şirket tanımı Tebliğde bulunmaktadır. TTM’lere ilişkin esasları da kapsadığından ilave edilmiştir. </w:t>
            </w:r>
          </w:p>
          <w:p w:rsidR="00F81DD9" w:rsidRDefault="00F81DD9" w:rsidP="00F81DD9">
            <w:pPr>
              <w:jc w:val="both"/>
              <w:rPr>
                <w:bCs/>
              </w:rPr>
            </w:pPr>
          </w:p>
        </w:tc>
      </w:tr>
      <w:tr w:rsidR="00DE06DB" w:rsidRPr="00583832" w:rsidTr="0098154A">
        <w:tc>
          <w:tcPr>
            <w:tcW w:w="4957" w:type="dxa"/>
          </w:tcPr>
          <w:p w:rsidR="00DE06DB" w:rsidRPr="006361B5" w:rsidRDefault="00DE06DB" w:rsidP="00DE06DB">
            <w:pPr>
              <w:spacing w:after="200" w:line="276" w:lineRule="auto"/>
              <w:jc w:val="both"/>
              <w:rPr>
                <w:rFonts w:eastAsia="Calibri"/>
              </w:rPr>
            </w:pPr>
            <w:r w:rsidRPr="006361B5">
              <w:rPr>
                <w:b/>
                <w:bCs/>
              </w:rPr>
              <w:t xml:space="preserve">MADDE 4- </w:t>
            </w:r>
            <w:r w:rsidRPr="006361B5">
              <w:rPr>
                <w:rFonts w:eastAsia="Calibri"/>
              </w:rPr>
              <w:t>(1) İşbu Genelgede, Tebliğin 4 üncü maddesinde belirtilen tanımlara ilaveten aşağıdaki tanımlar esas alınacaktır.</w:t>
            </w:r>
          </w:p>
          <w:p w:rsidR="00DE06DB" w:rsidRPr="006361B5" w:rsidRDefault="00DE06DB" w:rsidP="00DE06DB">
            <w:pPr>
              <w:spacing w:after="200" w:line="276" w:lineRule="auto"/>
              <w:jc w:val="both"/>
              <w:rPr>
                <w:rFonts w:eastAsia="Calibri"/>
              </w:rPr>
            </w:pPr>
            <w:r w:rsidRPr="006361B5">
              <w:rPr>
                <w:rFonts w:eastAsia="Calibri"/>
              </w:rPr>
              <w:t>Proje: Türkiye Ticaret Merkezi kurmak ve işletmek amacıyla ortakları, kapsamı, süresi, bütçesi, uygulayıcıları, fizibilite raporu ile öngörülen çıktıları belirlenmiş faaliyetler bütününü,</w:t>
            </w:r>
          </w:p>
          <w:p w:rsidR="00DE06DB" w:rsidRPr="0063605A" w:rsidRDefault="00DE06DB" w:rsidP="00DE06DB">
            <w:pPr>
              <w:pStyle w:val="ListeParagraf"/>
              <w:ind w:left="567" w:hanging="534"/>
              <w:jc w:val="both"/>
            </w:pPr>
            <w:r w:rsidRPr="0063605A">
              <w:t xml:space="preserve">İlişkili Kişi: </w:t>
            </w:r>
          </w:p>
          <w:p w:rsidR="00DE06DB" w:rsidRPr="0063605A" w:rsidRDefault="00DE06DB" w:rsidP="00DE06DB">
            <w:pPr>
              <w:pStyle w:val="ListeParagraf"/>
              <w:ind w:left="567"/>
              <w:jc w:val="both"/>
            </w:pPr>
          </w:p>
          <w:p w:rsidR="00DE06DB" w:rsidRPr="0063605A" w:rsidRDefault="00DE06DB" w:rsidP="00DE06DB">
            <w:pPr>
              <w:pStyle w:val="ListeParagraf"/>
              <w:numPr>
                <w:ilvl w:val="0"/>
                <w:numId w:val="27"/>
              </w:numPr>
              <w:spacing w:before="100" w:beforeAutospacing="1" w:after="100" w:afterAutospacing="1"/>
              <w:ind w:left="567"/>
              <w:jc w:val="both"/>
            </w:pPr>
            <w:r w:rsidRPr="0063605A">
              <w:rPr>
                <w:bCs/>
              </w:rPr>
              <w:t>Destek kapsamındaki şirketin kendi ortaklarını,</w:t>
            </w:r>
          </w:p>
          <w:p w:rsidR="00DE06DB" w:rsidRPr="0063605A" w:rsidRDefault="00DE06DB" w:rsidP="00DE06DB">
            <w:pPr>
              <w:pStyle w:val="ListeParagraf"/>
              <w:numPr>
                <w:ilvl w:val="0"/>
                <w:numId w:val="27"/>
              </w:numPr>
              <w:spacing w:before="100" w:beforeAutospacing="1" w:after="100" w:afterAutospacing="1"/>
              <w:ind w:left="567"/>
              <w:jc w:val="both"/>
            </w:pPr>
            <w:r w:rsidRPr="0063605A">
              <w:rPr>
                <w:bCs/>
              </w:rPr>
              <w:t>Destek kapsamındaki şirketlerin veya söz konusu şirketlerin ortaklarının ilgili bulunduğu gerçek kişi veya kurumları,</w:t>
            </w:r>
          </w:p>
          <w:p w:rsidR="00DE06DB" w:rsidRPr="0063605A" w:rsidRDefault="00DE06DB" w:rsidP="00DE06DB">
            <w:pPr>
              <w:pStyle w:val="ListeParagraf"/>
              <w:numPr>
                <w:ilvl w:val="0"/>
                <w:numId w:val="27"/>
              </w:numPr>
              <w:spacing w:before="100" w:beforeAutospacing="1" w:after="100" w:afterAutospacing="1"/>
              <w:ind w:left="567"/>
              <w:jc w:val="both"/>
            </w:pPr>
            <w:r w:rsidRPr="0063605A">
              <w:rPr>
                <w:bCs/>
              </w:rPr>
              <w:t>Destek kapsamındaki şirketler veya söz konusu şirketlerin ortaklarının idaresi, denetimi veya sermayesi bakımından doğrudan veya dolaylı olarak bağlı bulunduğu gerçek kişi veya kurumları,</w:t>
            </w:r>
          </w:p>
          <w:p w:rsidR="00DE06DB" w:rsidRPr="0063605A" w:rsidRDefault="00DE06DB" w:rsidP="00DE06DB">
            <w:pPr>
              <w:pStyle w:val="ListeParagraf"/>
              <w:numPr>
                <w:ilvl w:val="0"/>
                <w:numId w:val="27"/>
              </w:numPr>
              <w:spacing w:before="100" w:beforeAutospacing="1" w:after="100" w:afterAutospacing="1"/>
              <w:ind w:left="567"/>
              <w:jc w:val="both"/>
            </w:pPr>
            <w:r w:rsidRPr="0063605A">
              <w:rPr>
                <w:bCs/>
              </w:rPr>
              <w:t>Destek kapsamındaki şirketlerin veya söz konusu şirketlerin ortaklarının idaresi, denetimi veya sermayesi bakımından nüfuzu altında bulundurduğu gerçek kişi veya kurumları,</w:t>
            </w:r>
          </w:p>
          <w:p w:rsidR="00DE06DB" w:rsidRPr="0063605A" w:rsidRDefault="00DE06DB" w:rsidP="00DE06DB">
            <w:pPr>
              <w:pStyle w:val="ListeParagraf"/>
              <w:numPr>
                <w:ilvl w:val="0"/>
                <w:numId w:val="27"/>
              </w:numPr>
              <w:spacing w:before="100" w:beforeAutospacing="1" w:after="100" w:afterAutospacing="1"/>
              <w:ind w:left="567"/>
              <w:jc w:val="both"/>
            </w:pPr>
            <w:r w:rsidRPr="0063605A">
              <w:rPr>
                <w:bCs/>
              </w:rPr>
              <w:t>Ortakların eşlerini,</w:t>
            </w:r>
          </w:p>
          <w:p w:rsidR="00DE06DB" w:rsidRDefault="00DE06DB" w:rsidP="00DE06DB">
            <w:pPr>
              <w:pStyle w:val="ListeParagraf"/>
              <w:numPr>
                <w:ilvl w:val="0"/>
                <w:numId w:val="27"/>
              </w:numPr>
              <w:spacing w:before="100" w:beforeAutospacing="1" w:after="100" w:afterAutospacing="1"/>
              <w:ind w:left="567"/>
              <w:jc w:val="both"/>
              <w:rPr>
                <w:rFonts w:eastAsia="Calibri"/>
              </w:rPr>
            </w:pPr>
            <w:r w:rsidRPr="0063605A">
              <w:rPr>
                <w:bCs/>
              </w:rPr>
              <w:t>Ortakların veya eşlerinin üstsoy ve altsoyu, üçüncü d</w:t>
            </w:r>
            <w:r>
              <w:rPr>
                <w:bCs/>
              </w:rPr>
              <w:t xml:space="preserve">erece dahil yansoy hısımları ve </w:t>
            </w:r>
            <w:r w:rsidRPr="00441C44">
              <w:rPr>
                <w:rFonts w:eastAsia="Calibri"/>
              </w:rPr>
              <w:t>kayın hısımlarını,</w:t>
            </w:r>
          </w:p>
          <w:p w:rsidR="00DE06DB" w:rsidRPr="00441C44" w:rsidRDefault="00DE06DB" w:rsidP="00DE06DB">
            <w:pPr>
              <w:spacing w:after="200" w:line="276" w:lineRule="auto"/>
              <w:jc w:val="both"/>
              <w:rPr>
                <w:rFonts w:eastAsia="Calibri"/>
              </w:rPr>
            </w:pPr>
            <w:r w:rsidRPr="00441C44">
              <w:rPr>
                <w:rFonts w:eastAsia="Calibri"/>
              </w:rPr>
              <w:t>ifade eder.</w:t>
            </w:r>
          </w:p>
          <w:p w:rsidR="00DE06DB" w:rsidRPr="00A651F3" w:rsidRDefault="00DE06DB" w:rsidP="00DE06DB">
            <w:pPr>
              <w:jc w:val="both"/>
              <w:rPr>
                <w:rFonts w:eastAsia="Calibri"/>
                <w:u w:val="single"/>
              </w:rPr>
            </w:pPr>
          </w:p>
        </w:tc>
        <w:tc>
          <w:tcPr>
            <w:tcW w:w="4961" w:type="dxa"/>
          </w:tcPr>
          <w:p w:rsidR="00DE06DB" w:rsidRPr="006361B5" w:rsidRDefault="00DE06DB" w:rsidP="00DE06DB">
            <w:pPr>
              <w:spacing w:after="200" w:line="276" w:lineRule="auto"/>
              <w:jc w:val="both"/>
              <w:rPr>
                <w:rFonts w:eastAsia="Calibri"/>
              </w:rPr>
            </w:pPr>
            <w:r w:rsidRPr="006361B5">
              <w:rPr>
                <w:b/>
                <w:bCs/>
              </w:rPr>
              <w:t xml:space="preserve">MADDE 4- </w:t>
            </w:r>
            <w:r w:rsidRPr="006361B5">
              <w:rPr>
                <w:rFonts w:eastAsia="Calibri"/>
              </w:rPr>
              <w:t>(1) İşbu Genelgede, Tebliğin 4 üncü maddesinde belirtilen tanımlara ilaveten aşağıdaki tanımlar esas alınacaktır.</w:t>
            </w:r>
          </w:p>
          <w:p w:rsidR="00DE06DB" w:rsidRDefault="00DE06DB" w:rsidP="00DE06DB">
            <w:pPr>
              <w:spacing w:after="200" w:line="276" w:lineRule="auto"/>
              <w:jc w:val="both"/>
              <w:rPr>
                <w:rFonts w:eastAsia="Calibri"/>
              </w:rPr>
            </w:pPr>
            <w:r w:rsidRPr="006361B5">
              <w:rPr>
                <w:rFonts w:eastAsia="Calibri"/>
              </w:rPr>
              <w:t>Proje: Türkiye Ticaret Merkezi kurmak ve işletmek amacıyla ortakları, kapsamı, süresi, bütçesi, uygulayıcıları, fizibilite raporu ile öngörülen çıktıları belirlenmiş faaliyetler bütününü,</w:t>
            </w:r>
          </w:p>
          <w:p w:rsidR="00DE06DB" w:rsidRPr="0063605A" w:rsidRDefault="00DE06DB" w:rsidP="00DE06DB">
            <w:pPr>
              <w:pStyle w:val="ListeParagraf"/>
              <w:ind w:left="567" w:hanging="534"/>
              <w:jc w:val="both"/>
            </w:pPr>
            <w:r w:rsidRPr="0063605A">
              <w:t xml:space="preserve">İlişkili Kişi: </w:t>
            </w:r>
          </w:p>
          <w:p w:rsidR="00DE06DB" w:rsidRPr="0063605A" w:rsidRDefault="00DE06DB" w:rsidP="00DE06DB">
            <w:pPr>
              <w:pStyle w:val="ListeParagraf"/>
              <w:ind w:left="567"/>
              <w:jc w:val="both"/>
            </w:pPr>
          </w:p>
          <w:p w:rsidR="00DE06DB" w:rsidRPr="0063605A" w:rsidRDefault="00DE06DB" w:rsidP="00A32E8C">
            <w:pPr>
              <w:pStyle w:val="ListeParagraf"/>
              <w:numPr>
                <w:ilvl w:val="0"/>
                <w:numId w:val="29"/>
              </w:numPr>
              <w:spacing w:before="100" w:beforeAutospacing="1" w:after="100" w:afterAutospacing="1"/>
              <w:ind w:left="606" w:hanging="425"/>
              <w:jc w:val="both"/>
            </w:pPr>
            <w:r w:rsidRPr="0063605A">
              <w:rPr>
                <w:bCs/>
              </w:rPr>
              <w:t>Destek kapsamındaki şirketin kendi ortaklarını,</w:t>
            </w:r>
          </w:p>
          <w:p w:rsidR="00DE06DB" w:rsidRPr="0063605A" w:rsidRDefault="00DE06DB" w:rsidP="00A32E8C">
            <w:pPr>
              <w:pStyle w:val="ListeParagraf"/>
              <w:numPr>
                <w:ilvl w:val="0"/>
                <w:numId w:val="29"/>
              </w:numPr>
              <w:spacing w:before="100" w:beforeAutospacing="1" w:after="100" w:afterAutospacing="1"/>
              <w:ind w:left="567"/>
              <w:jc w:val="both"/>
            </w:pPr>
            <w:r w:rsidRPr="0063605A">
              <w:rPr>
                <w:bCs/>
              </w:rPr>
              <w:t>Destek kapsamındaki şirketlerin veya söz konusu şirketlerin ortaklarının ilgili bulunduğu gerçek kişi veya kurumları,</w:t>
            </w:r>
          </w:p>
          <w:p w:rsidR="00DE06DB" w:rsidRPr="0063605A" w:rsidRDefault="00DE06DB" w:rsidP="00A32E8C">
            <w:pPr>
              <w:pStyle w:val="ListeParagraf"/>
              <w:numPr>
                <w:ilvl w:val="0"/>
                <w:numId w:val="29"/>
              </w:numPr>
              <w:spacing w:before="100" w:beforeAutospacing="1" w:after="100" w:afterAutospacing="1"/>
              <w:ind w:left="567"/>
              <w:jc w:val="both"/>
            </w:pPr>
            <w:r w:rsidRPr="0063605A">
              <w:rPr>
                <w:bCs/>
              </w:rPr>
              <w:t>Destek kapsamındaki şirketler veya söz konusu şirketlerin ortaklarının idaresi, denetimi veya sermayesi bakımından doğrudan veya dolaylı olarak bağlı bulunduğu gerçek kişi veya kurumları,</w:t>
            </w:r>
          </w:p>
          <w:p w:rsidR="00DE06DB" w:rsidRPr="0063605A" w:rsidRDefault="00DE06DB" w:rsidP="00A32E8C">
            <w:pPr>
              <w:pStyle w:val="ListeParagraf"/>
              <w:numPr>
                <w:ilvl w:val="0"/>
                <w:numId w:val="29"/>
              </w:numPr>
              <w:spacing w:before="100" w:beforeAutospacing="1" w:after="100" w:afterAutospacing="1"/>
              <w:ind w:left="567"/>
              <w:jc w:val="both"/>
            </w:pPr>
            <w:r w:rsidRPr="0063605A">
              <w:rPr>
                <w:bCs/>
              </w:rPr>
              <w:t>Destek kapsamındaki şirketlerin veya söz konusu şirketlerin ortaklarının idaresi, denetimi veya sermayesi bakımından nüfuzu altında bulundurduğu gerçek kişi veya kurumları,</w:t>
            </w:r>
          </w:p>
          <w:p w:rsidR="00DE06DB" w:rsidRPr="0063605A" w:rsidRDefault="00DE06DB" w:rsidP="00A32E8C">
            <w:pPr>
              <w:pStyle w:val="ListeParagraf"/>
              <w:numPr>
                <w:ilvl w:val="0"/>
                <w:numId w:val="29"/>
              </w:numPr>
              <w:spacing w:before="100" w:beforeAutospacing="1" w:after="100" w:afterAutospacing="1"/>
              <w:ind w:left="567"/>
              <w:jc w:val="both"/>
            </w:pPr>
            <w:r w:rsidRPr="0063605A">
              <w:rPr>
                <w:bCs/>
              </w:rPr>
              <w:t>Ortakların eşlerini,</w:t>
            </w:r>
          </w:p>
          <w:p w:rsidR="00DE06DB" w:rsidRDefault="00DE06DB" w:rsidP="00A32E8C">
            <w:pPr>
              <w:pStyle w:val="ListeParagraf"/>
              <w:numPr>
                <w:ilvl w:val="0"/>
                <w:numId w:val="29"/>
              </w:numPr>
              <w:spacing w:before="100" w:beforeAutospacing="1" w:after="100" w:afterAutospacing="1"/>
              <w:ind w:left="567"/>
              <w:jc w:val="both"/>
              <w:rPr>
                <w:rFonts w:eastAsia="Calibri"/>
              </w:rPr>
            </w:pPr>
            <w:r w:rsidRPr="0063605A">
              <w:rPr>
                <w:bCs/>
              </w:rPr>
              <w:t>Ortakların veya eşlerinin üstsoy ve altsoyu, üçüncü d</w:t>
            </w:r>
            <w:r>
              <w:rPr>
                <w:bCs/>
              </w:rPr>
              <w:t xml:space="preserve">erece dahil yansoy hısımları ve </w:t>
            </w:r>
            <w:r w:rsidRPr="00441C44">
              <w:rPr>
                <w:rFonts w:eastAsia="Calibri"/>
              </w:rPr>
              <w:t>kayın hısımlarını,</w:t>
            </w:r>
          </w:p>
          <w:p w:rsidR="008420C4" w:rsidRDefault="008420C4" w:rsidP="00B2744D">
            <w:pPr>
              <w:jc w:val="both"/>
              <w:rPr>
                <w:b/>
              </w:rPr>
            </w:pPr>
            <w:r w:rsidRPr="008420C4">
              <w:rPr>
                <w:b/>
              </w:rPr>
              <w:t>Kayıtlı elektronik posta (KEP): 29/01/2013 tarih ve 28533 sayılı Resmi Gazete’de yayımlanarak yürürlüğe giren Elektronik Tebligat Yönetmeliği hükümleri uyarınca; elektronik iletilerin, gönderimi ve teslimatı da dâhil olmak üzere k</w:t>
            </w:r>
            <w:r>
              <w:rPr>
                <w:b/>
              </w:rPr>
              <w:t>ullanımına ilişkin olarak hukuki</w:t>
            </w:r>
            <w:r w:rsidRPr="008420C4">
              <w:rPr>
                <w:b/>
              </w:rPr>
              <w:t xml:space="preserve"> delil sağlayan, elektronik postanın nitelikli şeklini</w:t>
            </w:r>
          </w:p>
          <w:p w:rsidR="00F5565E" w:rsidRPr="008420C4" w:rsidRDefault="00F5565E" w:rsidP="008420C4">
            <w:pPr>
              <w:jc w:val="both"/>
              <w:rPr>
                <w:b/>
                <w:sz w:val="22"/>
                <w:szCs w:val="22"/>
              </w:rPr>
            </w:pPr>
          </w:p>
          <w:p w:rsidR="00DE06DB" w:rsidRPr="00B10D77" w:rsidRDefault="008420C4" w:rsidP="00B10D77">
            <w:pPr>
              <w:spacing w:after="200" w:line="276" w:lineRule="auto"/>
              <w:jc w:val="both"/>
              <w:rPr>
                <w:rFonts w:eastAsia="Calibri"/>
              </w:rPr>
            </w:pPr>
            <w:r>
              <w:rPr>
                <w:rFonts w:eastAsia="Calibri"/>
              </w:rPr>
              <w:t>i</w:t>
            </w:r>
            <w:r w:rsidR="00B10D77">
              <w:rPr>
                <w:rFonts w:eastAsia="Calibri"/>
              </w:rPr>
              <w:t>fade eder.</w:t>
            </w:r>
          </w:p>
        </w:tc>
        <w:tc>
          <w:tcPr>
            <w:tcW w:w="4253" w:type="dxa"/>
          </w:tcPr>
          <w:p w:rsidR="00DE06DB" w:rsidRDefault="00DE06DB"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B10D77">
            <w:pPr>
              <w:jc w:val="both"/>
              <w:rPr>
                <w:bCs/>
              </w:rPr>
            </w:pPr>
          </w:p>
          <w:p w:rsidR="00485C68" w:rsidRDefault="00485C68" w:rsidP="00485C68">
            <w:pPr>
              <w:jc w:val="both"/>
              <w:rPr>
                <w:bCs/>
              </w:rPr>
            </w:pPr>
            <w:r w:rsidRPr="00F24702">
              <w:rPr>
                <w:bCs/>
              </w:rPr>
              <w:t>Bakanlığımız ve/veya incelemeci kuruluşlara yapılan her türlü başvurunun KEP aracılığıyla yapılması</w:t>
            </w:r>
            <w:r>
              <w:rPr>
                <w:bCs/>
              </w:rPr>
              <w:t xml:space="preserve"> mümkün hale getirilerek KEP tanımı yapılmıştır.</w:t>
            </w:r>
          </w:p>
        </w:tc>
      </w:tr>
      <w:tr w:rsidR="00DB3931" w:rsidRPr="00583832" w:rsidTr="0098154A">
        <w:tc>
          <w:tcPr>
            <w:tcW w:w="4957" w:type="dxa"/>
          </w:tcPr>
          <w:p w:rsidR="00DB3931" w:rsidRPr="006361B5" w:rsidRDefault="00DB3931" w:rsidP="00DB3931">
            <w:pPr>
              <w:jc w:val="both"/>
            </w:pPr>
            <w:r w:rsidRPr="006361B5">
              <w:rPr>
                <w:b/>
              </w:rPr>
              <w:t>MADDE 9-</w:t>
            </w:r>
            <w:r w:rsidRPr="006361B5">
              <w:t xml:space="preserve"> (1) İşletme giderlerinin destek kapsamında bulunmaması nedeniyle, kira desteği için net kira tutarı ile işletme giderlerinin kira sözleşmesinde açık bir şekilde belirtilmesi veya kiraya verenden alınacak açıklayıcı bir yazının Ticaret Müşavirlikleri/Ataşeliklerine onaylatılarak İBGS’ye iletilmesi zorunludur. </w:t>
            </w:r>
          </w:p>
          <w:p w:rsidR="00DB3931" w:rsidRPr="006361B5" w:rsidRDefault="00DB3931" w:rsidP="00DE06DB">
            <w:pPr>
              <w:spacing w:after="200" w:line="276" w:lineRule="auto"/>
              <w:jc w:val="both"/>
              <w:rPr>
                <w:b/>
                <w:bCs/>
              </w:rPr>
            </w:pPr>
          </w:p>
        </w:tc>
        <w:tc>
          <w:tcPr>
            <w:tcW w:w="4961" w:type="dxa"/>
          </w:tcPr>
          <w:p w:rsidR="00DB3931" w:rsidRPr="00DB3931" w:rsidRDefault="00DB3931" w:rsidP="00DB3931">
            <w:pPr>
              <w:spacing w:after="120"/>
              <w:jc w:val="both"/>
            </w:pPr>
            <w:r w:rsidRPr="00320EF8">
              <w:rPr>
                <w:b/>
              </w:rPr>
              <w:t>MADDE 9-</w:t>
            </w:r>
            <w:r w:rsidRPr="00DB3931">
              <w:t xml:space="preserve"> (1) İşletme giderlerinin destek kapsamında bulunmaması nedeniyle, kira desteği için net kira tutarı ile işletme giderlerinin kira sözleşmesinde açık bir şekilde belirtilmesi veya kiraya verenden alınacak açıklayıcı bir yazının Ticaret Müşavirlikleri/Ataşeliklerine onaylatılarak İBGS’ye iletilmesi zorunludur. </w:t>
            </w:r>
          </w:p>
          <w:p w:rsidR="00DB3931" w:rsidRPr="00DB3931" w:rsidRDefault="00DB3931" w:rsidP="00CD7133">
            <w:pPr>
              <w:spacing w:after="120" w:line="276" w:lineRule="auto"/>
              <w:jc w:val="both"/>
              <w:rPr>
                <w:b/>
                <w:bCs/>
              </w:rPr>
            </w:pPr>
            <w:r w:rsidRPr="00E72863">
              <w:rPr>
                <w:b/>
              </w:rPr>
              <w:t>(2)</w:t>
            </w:r>
            <w:r w:rsidR="00216A4C" w:rsidRPr="00E72863">
              <w:rPr>
                <w:b/>
              </w:rPr>
              <w:t xml:space="preserve"> </w:t>
            </w:r>
            <w:r w:rsidRPr="00E72863">
              <w:rPr>
                <w:b/>
              </w:rPr>
              <w:t xml:space="preserve">İpotekli satış (mortgage) yöntemiyle satın alınan birimlerin destek kapsamında değerlendirilmesi için </w:t>
            </w:r>
            <w:r w:rsidR="003323A9" w:rsidRPr="003323A9">
              <w:rPr>
                <w:b/>
              </w:rPr>
              <w:t>satışın gerçekleştiğine ilişkin belge</w:t>
            </w:r>
            <w:r w:rsidR="003323A9">
              <w:rPr>
                <w:b/>
              </w:rPr>
              <w:t xml:space="preserve"> ya da</w:t>
            </w:r>
            <w:r w:rsidR="003323A9" w:rsidRPr="003323A9">
              <w:rPr>
                <w:b/>
              </w:rPr>
              <w:t xml:space="preserve"> </w:t>
            </w:r>
            <w:r w:rsidR="00D01C19">
              <w:rPr>
                <w:b/>
              </w:rPr>
              <w:t xml:space="preserve">tapu ve </w:t>
            </w:r>
            <w:r w:rsidRPr="00E72863">
              <w:rPr>
                <w:b/>
              </w:rPr>
              <w:t>ödeme planı sunulması zorunlu</w:t>
            </w:r>
            <w:r w:rsidR="00B52930">
              <w:rPr>
                <w:b/>
              </w:rPr>
              <w:t xml:space="preserve">dur. </w:t>
            </w:r>
            <w:r w:rsidR="003323A9">
              <w:rPr>
                <w:b/>
              </w:rPr>
              <w:t>M</w:t>
            </w:r>
            <w:r w:rsidR="00216A4C" w:rsidRPr="00E72863">
              <w:rPr>
                <w:b/>
              </w:rPr>
              <w:t>ortgage yöntemiyle satın alınan birim</w:t>
            </w:r>
            <w:r w:rsidR="00CD7133">
              <w:rPr>
                <w:b/>
              </w:rPr>
              <w:t>e ilişkin yıllık destek ödemeleri hesaplanırken Ticaret</w:t>
            </w:r>
            <w:r w:rsidR="00216A4C" w:rsidRPr="00E72863">
              <w:rPr>
                <w:b/>
              </w:rPr>
              <w:t xml:space="preserve"> Müşaviri/Ataşesi/Bakanlık Temsilcisi taraf</w:t>
            </w:r>
            <w:r w:rsidR="003323A9">
              <w:rPr>
                <w:b/>
              </w:rPr>
              <w:t>ından tespit edilen</w:t>
            </w:r>
            <w:r w:rsidR="00B2744D">
              <w:rPr>
                <w:b/>
              </w:rPr>
              <w:t xml:space="preserve"> yıllık</w:t>
            </w:r>
            <w:r w:rsidR="003323A9">
              <w:rPr>
                <w:b/>
              </w:rPr>
              <w:t xml:space="preserve"> kira rayici</w:t>
            </w:r>
            <w:r w:rsidR="00CD7133">
              <w:rPr>
                <w:b/>
              </w:rPr>
              <w:t xml:space="preserve"> dikkate alınır.</w:t>
            </w:r>
          </w:p>
        </w:tc>
        <w:tc>
          <w:tcPr>
            <w:tcW w:w="4253" w:type="dxa"/>
          </w:tcPr>
          <w:p w:rsidR="00DB3931" w:rsidRDefault="00DB3931" w:rsidP="00B10D77">
            <w:pPr>
              <w:jc w:val="both"/>
              <w:rPr>
                <w:bCs/>
              </w:rPr>
            </w:pPr>
          </w:p>
          <w:p w:rsidR="00E72863" w:rsidRDefault="00E72863" w:rsidP="00B10D77">
            <w:pPr>
              <w:jc w:val="both"/>
              <w:rPr>
                <w:bCs/>
              </w:rPr>
            </w:pPr>
          </w:p>
          <w:p w:rsidR="00E72863" w:rsidRDefault="00E72863" w:rsidP="00B10D77">
            <w:pPr>
              <w:jc w:val="both"/>
              <w:rPr>
                <w:bCs/>
              </w:rPr>
            </w:pPr>
          </w:p>
          <w:p w:rsidR="00E72863" w:rsidRDefault="00E72863" w:rsidP="00B10D77">
            <w:pPr>
              <w:jc w:val="both"/>
              <w:rPr>
                <w:bCs/>
              </w:rPr>
            </w:pPr>
          </w:p>
          <w:p w:rsidR="00E72863" w:rsidRDefault="00E72863" w:rsidP="00B10D77">
            <w:pPr>
              <w:jc w:val="both"/>
              <w:rPr>
                <w:bCs/>
              </w:rPr>
            </w:pPr>
          </w:p>
          <w:p w:rsidR="00E72863" w:rsidRDefault="00E72863" w:rsidP="00B10D77">
            <w:pPr>
              <w:jc w:val="both"/>
              <w:rPr>
                <w:bCs/>
              </w:rPr>
            </w:pPr>
          </w:p>
          <w:p w:rsidR="00E72863" w:rsidRDefault="00E72863" w:rsidP="00B10D77">
            <w:pPr>
              <w:jc w:val="both"/>
              <w:rPr>
                <w:bCs/>
              </w:rPr>
            </w:pPr>
          </w:p>
          <w:p w:rsidR="00E72863" w:rsidRDefault="00E72863" w:rsidP="00E72863">
            <w:pPr>
              <w:jc w:val="both"/>
              <w:rPr>
                <w:bCs/>
              </w:rPr>
            </w:pPr>
          </w:p>
          <w:p w:rsidR="00E72863" w:rsidRDefault="00E72863" w:rsidP="00B2744D">
            <w:pPr>
              <w:jc w:val="both"/>
              <w:rPr>
                <w:bCs/>
              </w:rPr>
            </w:pPr>
            <w:r>
              <w:rPr>
                <w:bCs/>
              </w:rPr>
              <w:t>31.10.2017 tarihli ve 30226 sayılı Resmi Gazete’de yayımlanarak yürürlüğe giren mortgage yönt</w:t>
            </w:r>
            <w:r w:rsidR="00B2744D">
              <w:rPr>
                <w:bCs/>
              </w:rPr>
              <w:t xml:space="preserve">emi ile satın alınan birimlere ilişkin </w:t>
            </w:r>
            <w:r>
              <w:rPr>
                <w:bCs/>
              </w:rPr>
              <w:t>taksit ödemelerinin kira rayici oranında desteklenmesine ilişkin madde ilave edilmiştir.</w:t>
            </w:r>
          </w:p>
        </w:tc>
      </w:tr>
      <w:tr w:rsidR="00DE06DB" w:rsidRPr="00583832" w:rsidTr="0098154A">
        <w:tc>
          <w:tcPr>
            <w:tcW w:w="4957" w:type="dxa"/>
          </w:tcPr>
          <w:p w:rsidR="00F9749E" w:rsidRPr="006361B5" w:rsidRDefault="00F9749E" w:rsidP="00F9749E">
            <w:pPr>
              <w:jc w:val="both"/>
            </w:pPr>
            <w:r w:rsidRPr="006361B5">
              <w:rPr>
                <w:b/>
              </w:rPr>
              <w:t>MADDE 12-</w:t>
            </w:r>
            <w:r w:rsidRPr="006361B5">
              <w:t xml:space="preserve"> (1) Destek kapsamında bulunan ve destek ödemeleri devam eden şirketlerin kira sözleşmelerinin değişmesi durumunda yeni kira sözleşmesi Ticaret Müşavirlikleri/ Ataşelikleri’ne sunulur ve Ticaret Müşavirlikleri/Ataşelikleri söz konusu kira tutarının rayice uygunluğunu inceleyerek onaylar.</w:t>
            </w:r>
          </w:p>
          <w:p w:rsidR="00DE06DB" w:rsidRPr="00DE0C1C" w:rsidRDefault="00DE06DB" w:rsidP="00DE06DB">
            <w:pPr>
              <w:spacing w:after="200" w:line="276" w:lineRule="auto"/>
              <w:jc w:val="both"/>
              <w:rPr>
                <w:rFonts w:eastAsia="Calibri"/>
                <w:strike/>
              </w:rPr>
            </w:pPr>
          </w:p>
        </w:tc>
        <w:tc>
          <w:tcPr>
            <w:tcW w:w="4961" w:type="dxa"/>
          </w:tcPr>
          <w:p w:rsidR="00F9749E" w:rsidRPr="006361B5" w:rsidRDefault="00F9749E" w:rsidP="00F9749E">
            <w:pPr>
              <w:jc w:val="both"/>
            </w:pPr>
            <w:r w:rsidRPr="006361B5">
              <w:rPr>
                <w:b/>
              </w:rPr>
              <w:t>MADDE 12-</w:t>
            </w:r>
            <w:r w:rsidRPr="006361B5">
              <w:t xml:space="preserve"> (1) Destek kapsamında bulunan ve destek ödemeleri devam eden şirketlerin kira sözleşmelerinin değişmesi durumunda yeni kira sözleşmesi Ticaret Müşavirlikleri/ Ataşelikleri’ne sunulur ve Ticaret Müşavirlikleri/Ataşelikleri söz konusu kira tutarının rayice uygunluğunu inceleyerek onaylar.</w:t>
            </w:r>
          </w:p>
          <w:p w:rsidR="00DE06DB" w:rsidRPr="00F9749E" w:rsidRDefault="00F9749E" w:rsidP="00F9749E">
            <w:pPr>
              <w:jc w:val="both"/>
              <w:rPr>
                <w:rFonts w:eastAsia="Calibri"/>
                <w:b/>
              </w:rPr>
            </w:pPr>
            <w:r w:rsidRPr="00F9749E">
              <w:rPr>
                <w:b/>
              </w:rPr>
              <w:t>(2) Birim kiralarında, Tebliğde belirtilen süre limitleri hesaplanırken söz konusu birimin destek ödemesine esas teşkil eden ilk kira döneminin başlangıç tarihi esas alınır. Devam eden dönemde birime ilişkin des</w:t>
            </w:r>
            <w:r w:rsidR="000A3768">
              <w:rPr>
                <w:b/>
              </w:rPr>
              <w:t>tek başvurusu yapılmamış olması</w:t>
            </w:r>
            <w:r w:rsidRPr="00F9749E">
              <w:rPr>
                <w:b/>
              </w:rPr>
              <w:t xml:space="preserve"> limite esas süreyi kesmez.</w:t>
            </w:r>
          </w:p>
        </w:tc>
        <w:tc>
          <w:tcPr>
            <w:tcW w:w="4253" w:type="dxa"/>
          </w:tcPr>
          <w:p w:rsidR="00DE06DB" w:rsidRPr="00E1652B" w:rsidRDefault="00D11B51" w:rsidP="00DE06DB">
            <w:pPr>
              <w:jc w:val="both"/>
              <w:rPr>
                <w:bCs/>
              </w:rPr>
            </w:pPr>
            <w:r>
              <w:rPr>
                <w:bCs/>
              </w:rPr>
              <w:t xml:space="preserve">Dört yıl olan birim kira destek süresinin başlangıç tarihi 2006/4 sayılı Tebliğ’de belirtildiği gibi düzenlenmiştir. </w:t>
            </w:r>
          </w:p>
        </w:tc>
      </w:tr>
      <w:tr w:rsidR="002F4432" w:rsidRPr="00583832" w:rsidTr="0098154A">
        <w:tc>
          <w:tcPr>
            <w:tcW w:w="4957" w:type="dxa"/>
          </w:tcPr>
          <w:p w:rsidR="002F4432" w:rsidRDefault="002F4432" w:rsidP="002F4432">
            <w:pPr>
              <w:spacing w:after="120"/>
              <w:jc w:val="both"/>
            </w:pPr>
            <w:r w:rsidRPr="006361B5">
              <w:rPr>
                <w:b/>
                <w:bCs/>
              </w:rPr>
              <w:t xml:space="preserve">MADDE 13 – </w:t>
            </w:r>
            <w:r w:rsidRPr="006361B5">
              <w:t xml:space="preserve">(1) Tanıtım desteği için; şirketler EK-4’te yer alan bilgi ve belgelerle üyesi oldukları İBGS’ye, İşbirliği </w:t>
            </w:r>
            <w:r w:rsidRPr="0063605A">
              <w:t>Kuruluşları EK-3’de yer</w:t>
            </w:r>
            <w:r w:rsidRPr="006361B5">
              <w:t xml:space="preserve"> alan bilgi ve belgelerle Bakanlığa başvurularını yaparlar.</w:t>
            </w:r>
          </w:p>
          <w:p w:rsidR="002F4432" w:rsidRPr="00172744" w:rsidRDefault="002F4432" w:rsidP="00172744">
            <w:pPr>
              <w:spacing w:after="120"/>
              <w:jc w:val="both"/>
              <w:rPr>
                <w:strike/>
              </w:rPr>
            </w:pPr>
            <w:r w:rsidRPr="002F4432">
              <w:rPr>
                <w:strike/>
              </w:rPr>
              <w:t xml:space="preserve">(2) İşbirliği Kuruluşları, kiracı üye şirketlerin 2010/6 sayılı Tebliğde sayılan şartlara haiz olduklarından ve mezkûr Tebliğ kapsamında sunacakları belgeler ile “İşbirliği Kuruluşu Başvuru Formunda” yer alan bilgilerin temininden ve doğruluğundan sorumludur.  </w:t>
            </w:r>
          </w:p>
        </w:tc>
        <w:tc>
          <w:tcPr>
            <w:tcW w:w="4961" w:type="dxa"/>
          </w:tcPr>
          <w:p w:rsidR="002F4432" w:rsidRDefault="002F4432" w:rsidP="002F4432">
            <w:pPr>
              <w:spacing w:after="120"/>
              <w:jc w:val="both"/>
            </w:pPr>
            <w:r w:rsidRPr="006361B5">
              <w:rPr>
                <w:b/>
                <w:bCs/>
              </w:rPr>
              <w:t xml:space="preserve">MADDE 13 – </w:t>
            </w:r>
            <w:r w:rsidRPr="006361B5">
              <w:t xml:space="preserve">(1) Tanıtım desteği için; şirketler EK-4’te yer alan bilgi ve belgelerle üyesi oldukları İBGS’ye, İşbirliği </w:t>
            </w:r>
            <w:r w:rsidRPr="0063605A">
              <w:t>Kuruluşları EK-3’de yer</w:t>
            </w:r>
            <w:r w:rsidRPr="006361B5">
              <w:t xml:space="preserve"> alan bilgi ve belgelerle Bakanlığa başvurularını yaparlar.</w:t>
            </w:r>
          </w:p>
          <w:p w:rsidR="002F4432" w:rsidRPr="002F4432" w:rsidRDefault="00E72863" w:rsidP="00172744">
            <w:pPr>
              <w:jc w:val="both"/>
              <w:rPr>
                <w:b/>
              </w:rPr>
            </w:pPr>
            <w:r>
              <w:rPr>
                <w:b/>
              </w:rPr>
              <w:t xml:space="preserve"> </w:t>
            </w:r>
          </w:p>
        </w:tc>
        <w:tc>
          <w:tcPr>
            <w:tcW w:w="4253" w:type="dxa"/>
          </w:tcPr>
          <w:p w:rsidR="002F4432" w:rsidRDefault="002F4432" w:rsidP="00DE06DB">
            <w:pPr>
              <w:jc w:val="both"/>
              <w:rPr>
                <w:bCs/>
              </w:rPr>
            </w:pPr>
          </w:p>
          <w:p w:rsidR="002F4432" w:rsidRDefault="002F4432" w:rsidP="00DE06DB">
            <w:pPr>
              <w:jc w:val="both"/>
              <w:rPr>
                <w:bCs/>
              </w:rPr>
            </w:pPr>
          </w:p>
          <w:p w:rsidR="002F4432" w:rsidRDefault="002F4432" w:rsidP="00DE06DB">
            <w:pPr>
              <w:jc w:val="both"/>
              <w:rPr>
                <w:bCs/>
              </w:rPr>
            </w:pPr>
          </w:p>
          <w:p w:rsidR="002F4432" w:rsidRDefault="002F4432" w:rsidP="00DE06DB">
            <w:pPr>
              <w:jc w:val="both"/>
              <w:rPr>
                <w:bCs/>
              </w:rPr>
            </w:pPr>
          </w:p>
          <w:p w:rsidR="002F4432" w:rsidRDefault="002F4432" w:rsidP="00DE06DB">
            <w:pPr>
              <w:jc w:val="both"/>
              <w:rPr>
                <w:bCs/>
              </w:rPr>
            </w:pPr>
          </w:p>
          <w:p w:rsidR="002F4432" w:rsidRDefault="002F4432" w:rsidP="00172744">
            <w:pPr>
              <w:jc w:val="both"/>
              <w:rPr>
                <w:bCs/>
              </w:rPr>
            </w:pPr>
            <w:r>
              <w:rPr>
                <w:bCs/>
              </w:rPr>
              <w:t>İşbirliği Kuruluşu başvuru formu değiştirildiğinden ikinci fıkraya gerek bulunmamaktadır..</w:t>
            </w:r>
          </w:p>
        </w:tc>
      </w:tr>
      <w:tr w:rsidR="00DE06DB" w:rsidRPr="00583832" w:rsidTr="0098154A">
        <w:tc>
          <w:tcPr>
            <w:tcW w:w="4957" w:type="dxa"/>
          </w:tcPr>
          <w:p w:rsidR="00B10D77" w:rsidRDefault="00B10D77" w:rsidP="00B10D77">
            <w:pPr>
              <w:jc w:val="both"/>
            </w:pPr>
            <w:r w:rsidRPr="00441C44">
              <w:rPr>
                <w:b/>
              </w:rPr>
              <w:t>MADDE 14-</w:t>
            </w:r>
            <w:r>
              <w:t xml:space="preserve">(1) Bu Genelge kapsamında yurt içinden temin edilen reklâm ve tanıtım malzemelerinin desteklenebilmesi için bunların bedelsiz ihracat yoluyla ya da iz bedeli üzerinden yurt dışına gönderilmesi gerekir. Bu ihracatlara ilişkin gümrük beyannameleri, detaylı bir şekilde düzenlenmiş kurye, kargo faturaları, çeki listesi vb. belgelerin tevsik edilmesi gerekir. </w:t>
            </w:r>
          </w:p>
          <w:p w:rsidR="00B10D77" w:rsidRDefault="00B10D77" w:rsidP="00B10D77">
            <w:pPr>
              <w:jc w:val="both"/>
            </w:pPr>
          </w:p>
          <w:p w:rsidR="00B10D77" w:rsidRDefault="00B10D77" w:rsidP="00B10D77">
            <w:pPr>
              <w:jc w:val="both"/>
            </w:pPr>
            <w:r>
              <w:t>(2) Destek ödemesinin hesaplanmasında söz konusu malzemelere ilişkin satıcıdan alınan fatura bedelini aşmaması koşulu ile ödeme belgesi dikkate alınır.</w:t>
            </w:r>
          </w:p>
          <w:p w:rsidR="00B10D77" w:rsidRDefault="00B10D77" w:rsidP="00B10D77">
            <w:pPr>
              <w:jc w:val="both"/>
            </w:pPr>
          </w:p>
          <w:p w:rsidR="00B10D77" w:rsidRPr="00B10D77" w:rsidRDefault="00B10D77" w:rsidP="00B10D77">
            <w:pPr>
              <w:jc w:val="both"/>
              <w:rPr>
                <w:strike/>
              </w:rPr>
            </w:pPr>
            <w:r w:rsidRPr="00B10D77">
              <w:rPr>
                <w:strike/>
              </w:rPr>
              <w:t>(3) Yurt dışına yönelik yayın yapan Türk televizyonları ve gazeteleri ile yurt dışında Türkçe yayın yapan televizyonlar, gazeteler vb. basın yayın organlarında verilecek reklâmlara ilişkin harcamalar ile</w:t>
            </w:r>
            <w:r w:rsidRPr="00B10D77">
              <w:rPr>
                <w:b/>
                <w:strike/>
              </w:rPr>
              <w:t xml:space="preserve"> </w:t>
            </w:r>
            <w:r w:rsidRPr="00B10D77">
              <w:rPr>
                <w:strike/>
              </w:rPr>
              <w:t xml:space="preserve">Türkçe ve/veya yurt içine yönelik yapılan tanıtım harcamaları destek kapsamında değerlendirilmez. </w:t>
            </w:r>
          </w:p>
          <w:p w:rsidR="00B10D77" w:rsidRDefault="00B10D77" w:rsidP="00B10D77">
            <w:pPr>
              <w:jc w:val="both"/>
            </w:pPr>
          </w:p>
          <w:p w:rsidR="00B10D77" w:rsidRDefault="00B10D77" w:rsidP="00B10D77">
            <w:pPr>
              <w:jc w:val="both"/>
            </w:pPr>
            <w:r>
              <w:t xml:space="preserve"> (4) Tanıtım faaliyetinin birden çok dilde yapılması durumunda; prodüksiyon harcamalarına ilişkin düzenlenen sözleşmede prodüksiyona konu tanıtımın hangi ülkelerde kullanılacağının belirtilmesi gerekmektedir. Tanıtım filmine ilişkin prodüksiyon giderleri, söz konusu tanıtım filminin yurtdışında yayınlandığının tevsik edildiği durumda desteklenir. Prodüksiyona konu tanıtımın Türkiye’de de kullanılmasının mümkün olması durumunda prodüksiyon giderlerine yönelik destek hesaplaması harcamanın %50’si üzerinden yapılır. </w:t>
            </w:r>
          </w:p>
          <w:p w:rsidR="00B10D77" w:rsidRDefault="00B10D77" w:rsidP="00B10D77">
            <w:pPr>
              <w:jc w:val="both"/>
            </w:pPr>
          </w:p>
          <w:p w:rsidR="00B10D77" w:rsidRPr="0098154A" w:rsidRDefault="00B10D77" w:rsidP="00B10D77">
            <w:pPr>
              <w:jc w:val="both"/>
              <w:rPr>
                <w:strike/>
              </w:rPr>
            </w:pPr>
            <w:r w:rsidRPr="0098154A">
              <w:rPr>
                <w:strike/>
              </w:rPr>
              <w:t xml:space="preserve">(5) Yapılan tanıtım faaliyetlerinde; yurt içi marka tescil belgesinde bulunmayan ve Türk Malı imajına zarar verecek şekilde, ülke menşeini farklı gösteren sembol, şekil, işaret veya ülke, şehir isimlerinin kullanılması durumunda ilgili tanıtım gideri desteklenmez.  </w:t>
            </w:r>
          </w:p>
          <w:p w:rsidR="00B10D77" w:rsidRDefault="00B10D77" w:rsidP="00B10D77">
            <w:pPr>
              <w:jc w:val="both"/>
            </w:pPr>
          </w:p>
          <w:p w:rsidR="00B10D77" w:rsidRDefault="00B10D77" w:rsidP="00B10D77">
            <w:pPr>
              <w:jc w:val="both"/>
            </w:pPr>
            <w:r>
              <w:t xml:space="preserve">(6) Yapılan tanıtım faaliyetlerine ilişkin faturalarda söz konusu tanıtım faaliyetinin niteliğinin belirlenebilir olması gerekmektedir. Destek talebinde bulunulan tanıtım faaliyeti ile fatura arasında ilişki kurulamaması durumunda söz konusu harcama kalemi desteklenmez.  </w:t>
            </w:r>
          </w:p>
          <w:p w:rsidR="00B10D77" w:rsidRDefault="00B10D77" w:rsidP="00B10D77">
            <w:pPr>
              <w:jc w:val="both"/>
            </w:pPr>
          </w:p>
          <w:p w:rsidR="00B10D77" w:rsidRPr="00B10D77" w:rsidRDefault="00B10D77" w:rsidP="00B10D77">
            <w:pPr>
              <w:jc w:val="both"/>
              <w:rPr>
                <w:strike/>
              </w:rPr>
            </w:pPr>
            <w:r w:rsidRPr="00B10D77">
              <w:rPr>
                <w:strike/>
              </w:rPr>
              <w:t>(7)Defile/show/seminer/konferans düzenleme giderleri kapsamında, ulaşım ve konaklama ile yemek giderleri desteklenmez.</w:t>
            </w:r>
          </w:p>
          <w:p w:rsidR="00B10D77" w:rsidRDefault="00B10D77" w:rsidP="00B10D77">
            <w:pPr>
              <w:ind w:firstLine="720"/>
              <w:jc w:val="both"/>
            </w:pPr>
          </w:p>
          <w:p w:rsidR="00B10D77" w:rsidRPr="00D536B3" w:rsidRDefault="00B10D77" w:rsidP="00B10D77">
            <w:pPr>
              <w:spacing w:after="200" w:line="276" w:lineRule="auto"/>
              <w:jc w:val="both"/>
            </w:pPr>
            <w:r w:rsidRPr="00D536B3">
              <w:t xml:space="preserve">(8) </w:t>
            </w:r>
            <w:r w:rsidRPr="00D536B3">
              <w:rPr>
                <w:rFonts w:eastAsia="Calibri"/>
              </w:rPr>
              <w:t xml:space="preserve">Bir ürüne veya markaya karşılık tüketicinin tepkisinin anlaşılmasının hedeflendiği pazarlarda en fazla 3 ay için kurulan perakendecilik yöntemi olan </w:t>
            </w:r>
            <w:r w:rsidRPr="00D536B3">
              <w:t>geçici (pop-up) mağazacılık kapsamında; kira, organizasyon ve pop-up’a özgü diğer tanıtım giderleri desteklenir.</w:t>
            </w:r>
          </w:p>
          <w:p w:rsidR="00B10D77" w:rsidRPr="00B10D77" w:rsidRDefault="00B10D77" w:rsidP="00B10D77">
            <w:pPr>
              <w:jc w:val="both"/>
            </w:pPr>
            <w:r>
              <w:t>(9</w:t>
            </w:r>
            <w:r w:rsidRPr="006361B5">
              <w:t xml:space="preserve">)  Yurt dışı birime bağlı olarak verilen tanıtım desteği, birimin kapanması ya da destek kapsamından çıkarılması halinde sona erer. Ancak, şirketin 4 yıl destek süresi içerisinde başka birimlere bağlı olarak ya da marka tesciline bağlı olarak tanıtım desteğinden faydalanması mümkündür. Yurt dışı birimin kapanması ya da destek kapsamından çıkarılması ve yurt dışında desteklenen başka bir birimin bulunmaması durumunda tanıtım desteği Tebliğin 14’üncü maddesi çerçevesinde uygulanır. Bu durumda, Tebliğin 13’üncü maddesi çerçevesinde verilmiş olan destek miktarı, 14’üncü madde kapsamında uygulanacak yıllık 250.000 ABD Dolarlık azami destek miktarından mahsup edilir.    </w:t>
            </w:r>
          </w:p>
          <w:p w:rsidR="00B10D77" w:rsidRPr="00D735E9" w:rsidRDefault="00B10D77" w:rsidP="00DE06DB">
            <w:pPr>
              <w:jc w:val="both"/>
            </w:pPr>
          </w:p>
        </w:tc>
        <w:tc>
          <w:tcPr>
            <w:tcW w:w="4961" w:type="dxa"/>
          </w:tcPr>
          <w:p w:rsidR="00B10D77" w:rsidRDefault="00B10D77" w:rsidP="00B10D77">
            <w:pPr>
              <w:jc w:val="both"/>
            </w:pPr>
            <w:r w:rsidRPr="00441C44">
              <w:rPr>
                <w:b/>
              </w:rPr>
              <w:t>MADDE 14-</w:t>
            </w:r>
            <w:r>
              <w:t xml:space="preserve">(1) Bu Genelge kapsamında yurt içinden temin edilen reklâm ve tanıtım malzemelerinin desteklenebilmesi için bunların bedelsiz ihracat yoluyla ya da iz bedeli üzerinden yurt dışına gönderilmesi gerekir. Bu ihracatlara ilişkin gümrük beyannameleri, detaylı bir şekilde düzenlenmiş kurye, kargo faturaları, çeki listesi vb. belgelerin tevsik edilmesi gerekir. </w:t>
            </w:r>
          </w:p>
          <w:p w:rsidR="00B10D77" w:rsidRDefault="00B10D77" w:rsidP="00B10D77">
            <w:pPr>
              <w:jc w:val="both"/>
            </w:pPr>
          </w:p>
          <w:p w:rsidR="00B10D77" w:rsidRDefault="00B10D77" w:rsidP="00B10D77">
            <w:pPr>
              <w:jc w:val="both"/>
            </w:pPr>
            <w:r>
              <w:t>(2) Destek ödemesinin hesaplanmasında söz konusu malzemelere ilişkin satıcıdan alınan fatura bedelini aşmaması koşulu ile ödeme belgesi dikkate alınır.</w:t>
            </w:r>
          </w:p>
          <w:p w:rsidR="00B10D77" w:rsidRDefault="00B10D77" w:rsidP="00B10D77">
            <w:pPr>
              <w:jc w:val="both"/>
              <w:rPr>
                <w:rFonts w:eastAsia="Calibri"/>
                <w:b/>
              </w:rPr>
            </w:pPr>
          </w:p>
          <w:p w:rsidR="00B10D77" w:rsidRPr="00B10D77" w:rsidRDefault="00B10D77" w:rsidP="00B10D77">
            <w:pPr>
              <w:jc w:val="both"/>
              <w:rPr>
                <w:rFonts w:eastAsia="Calibri"/>
                <w:b/>
              </w:rPr>
            </w:pPr>
            <w:r w:rsidRPr="00B10D77">
              <w:rPr>
                <w:rFonts w:eastAsia="Calibri"/>
                <w:b/>
              </w:rPr>
              <w:t>(3) Tanıtım faaliyetleri kapsamında,</w:t>
            </w:r>
          </w:p>
          <w:p w:rsidR="00B10D77" w:rsidRPr="00B10D77" w:rsidRDefault="00B10D77" w:rsidP="00B10D77">
            <w:pPr>
              <w:jc w:val="both"/>
              <w:rPr>
                <w:rFonts w:eastAsia="Calibri"/>
                <w:b/>
              </w:rPr>
            </w:pPr>
            <w:r w:rsidRPr="00B10D77">
              <w:rPr>
                <w:rFonts w:eastAsia="Calibri"/>
                <w:b/>
              </w:rPr>
              <w:t>a) Ulaşım</w:t>
            </w:r>
            <w:r w:rsidR="0098154A">
              <w:rPr>
                <w:rFonts w:eastAsia="Calibri"/>
                <w:b/>
              </w:rPr>
              <w:t xml:space="preserve">, </w:t>
            </w:r>
            <w:r w:rsidRPr="00B10D77">
              <w:rPr>
                <w:rFonts w:eastAsia="Calibri"/>
                <w:b/>
              </w:rPr>
              <w:t xml:space="preserve"> konaklama</w:t>
            </w:r>
            <w:r w:rsidR="0098154A">
              <w:rPr>
                <w:rFonts w:eastAsia="Calibri"/>
                <w:b/>
              </w:rPr>
              <w:t xml:space="preserve"> ile yemek</w:t>
            </w:r>
            <w:r w:rsidRPr="00B10D77">
              <w:rPr>
                <w:rFonts w:eastAsia="Calibri"/>
                <w:b/>
              </w:rPr>
              <w:t xml:space="preserve"> giderleri,</w:t>
            </w:r>
          </w:p>
          <w:p w:rsidR="00B10D77" w:rsidRPr="00B10D77" w:rsidRDefault="00B10D77" w:rsidP="00B10D77">
            <w:pPr>
              <w:jc w:val="both"/>
              <w:rPr>
                <w:rFonts w:eastAsia="Calibri"/>
                <w:b/>
              </w:rPr>
            </w:pPr>
            <w:r w:rsidRPr="00B10D77">
              <w:rPr>
                <w:rFonts w:eastAsia="Calibri"/>
                <w:b/>
              </w:rPr>
              <w:t>b) Tanıtım malzemelerinin nakliye bedelleri,</w:t>
            </w:r>
          </w:p>
          <w:p w:rsidR="00B10D77" w:rsidRPr="00B10D77" w:rsidRDefault="00B10D77" w:rsidP="00B10D77">
            <w:pPr>
              <w:jc w:val="both"/>
              <w:rPr>
                <w:rFonts w:eastAsia="Calibri"/>
                <w:b/>
              </w:rPr>
            </w:pPr>
            <w:r w:rsidRPr="00B10D77">
              <w:rPr>
                <w:rFonts w:eastAsia="Calibri"/>
                <w:b/>
              </w:rPr>
              <w:t>c) Türkçe yapılan tanıtım harcamaları,</w:t>
            </w:r>
          </w:p>
          <w:p w:rsidR="00B10D77" w:rsidRPr="00B10D77" w:rsidRDefault="00B10D77" w:rsidP="00B10D77">
            <w:pPr>
              <w:jc w:val="both"/>
              <w:rPr>
                <w:rFonts w:eastAsia="Calibri"/>
                <w:b/>
              </w:rPr>
            </w:pPr>
            <w:r w:rsidRPr="00B10D77">
              <w:rPr>
                <w:rFonts w:eastAsia="Calibri"/>
                <w:b/>
              </w:rPr>
              <w:t>d) Yurt</w:t>
            </w:r>
            <w:r w:rsidR="0098154A">
              <w:rPr>
                <w:rFonts w:eastAsia="Calibri"/>
                <w:b/>
              </w:rPr>
              <w:t xml:space="preserve"> </w:t>
            </w:r>
            <w:r w:rsidRPr="00B10D77">
              <w:rPr>
                <w:rFonts w:eastAsia="Calibri"/>
                <w:b/>
              </w:rPr>
              <w:t>içine yönelik tanıtım harcamaları,</w:t>
            </w:r>
          </w:p>
          <w:p w:rsidR="00B10D77" w:rsidRPr="00B10D77" w:rsidRDefault="00B10D77" w:rsidP="00B10D77">
            <w:pPr>
              <w:jc w:val="both"/>
              <w:rPr>
                <w:rFonts w:eastAsia="Calibri"/>
                <w:b/>
              </w:rPr>
            </w:pPr>
            <w:r w:rsidRPr="00B10D77">
              <w:rPr>
                <w:rFonts w:eastAsia="Calibri"/>
                <w:b/>
              </w:rPr>
              <w:t>e) Yurtdışında Türkçe yayın yapan yayın organlarında yayınlanan tanıtım harcamaları</w:t>
            </w:r>
          </w:p>
          <w:p w:rsidR="00DE06DB" w:rsidRDefault="00B10D77" w:rsidP="00B10D77">
            <w:pPr>
              <w:jc w:val="both"/>
              <w:rPr>
                <w:rFonts w:eastAsia="Calibri"/>
                <w:b/>
              </w:rPr>
            </w:pPr>
            <w:r w:rsidRPr="00B10D77">
              <w:rPr>
                <w:rFonts w:eastAsia="Calibri"/>
                <w:b/>
              </w:rPr>
              <w:t>desteklenmez</w:t>
            </w:r>
            <w:r>
              <w:rPr>
                <w:rFonts w:eastAsia="Calibri"/>
                <w:b/>
              </w:rPr>
              <w:t>.</w:t>
            </w:r>
          </w:p>
          <w:p w:rsidR="00172744" w:rsidRDefault="00172744" w:rsidP="00B10D77">
            <w:pPr>
              <w:jc w:val="both"/>
              <w:rPr>
                <w:rFonts w:eastAsia="Calibri"/>
                <w:b/>
              </w:rPr>
            </w:pPr>
          </w:p>
          <w:p w:rsidR="00B10D77" w:rsidRDefault="00B10D77" w:rsidP="00B10D77">
            <w:pPr>
              <w:jc w:val="both"/>
            </w:pPr>
            <w:r>
              <w:t xml:space="preserve">(4) Tanıtım faaliyetinin birden çok dilde yapılması durumunda; prodüksiyon harcamalarına ilişkin düzenlenen sözleşmede prodüksiyona konu tanıtımın hangi ülkelerde kullanılacağının belirtilmesi gerekmektedir. Tanıtım filmine ilişkin prodüksiyon giderleri, söz konusu tanıtım filminin yurtdışında yayınlandığının tevsik edildiği durumda desteklenir. Prodüksiyona konu tanıtımın Türkiye’de de kullanılmasının mümkün olması durumunda prodüksiyon giderlerine yönelik destek hesaplaması harcamanın %50’si üzerinden yapılır. </w:t>
            </w:r>
          </w:p>
          <w:p w:rsidR="00B10D77" w:rsidRDefault="00B10D77" w:rsidP="00B10D77">
            <w:pPr>
              <w:jc w:val="both"/>
            </w:pPr>
          </w:p>
          <w:p w:rsidR="00B10D77" w:rsidRDefault="00A32E8C" w:rsidP="00B10D77">
            <w:pPr>
              <w:jc w:val="both"/>
            </w:pPr>
            <w:r w:rsidRPr="00A32E8C">
              <w:rPr>
                <w:b/>
              </w:rPr>
              <w:t>(5</w:t>
            </w:r>
            <w:r w:rsidR="00B10D77" w:rsidRPr="00A32E8C">
              <w:rPr>
                <w:b/>
              </w:rPr>
              <w:t>)</w:t>
            </w:r>
            <w:r w:rsidR="00B10D77">
              <w:t xml:space="preserve"> Yapılan tanıtım faaliyetlerine ilişkin faturalarda söz konusu tanıtım faaliyetinin niteliğinin belirlenebilir olması gerekmektedir. Destek talebinde bulunulan tanıtım faaliyeti ile fatura arasında ilişki kurulamaması durumunda söz konusu harcama kalemi desteklenmez.  </w:t>
            </w:r>
          </w:p>
          <w:p w:rsidR="00B10D77" w:rsidRDefault="00B10D77" w:rsidP="00B10D77">
            <w:pPr>
              <w:jc w:val="both"/>
            </w:pPr>
          </w:p>
          <w:p w:rsidR="00B10D77" w:rsidRPr="00D536B3" w:rsidRDefault="00A32E8C" w:rsidP="00B10D77">
            <w:pPr>
              <w:spacing w:after="200" w:line="276" w:lineRule="auto"/>
              <w:jc w:val="both"/>
            </w:pPr>
            <w:r>
              <w:rPr>
                <w:b/>
              </w:rPr>
              <w:t>(6</w:t>
            </w:r>
            <w:r w:rsidR="00B10D77" w:rsidRPr="00B10D77">
              <w:rPr>
                <w:b/>
              </w:rPr>
              <w:t>)</w:t>
            </w:r>
            <w:r w:rsidR="00B10D77" w:rsidRPr="00D536B3">
              <w:t xml:space="preserve"> </w:t>
            </w:r>
            <w:r w:rsidR="00B10D77" w:rsidRPr="00D536B3">
              <w:rPr>
                <w:rFonts w:eastAsia="Calibri"/>
              </w:rPr>
              <w:t xml:space="preserve">Bir ürüne veya markaya karşılık tüketicinin tepkisinin anlaşılmasının hedeflendiği pazarlarda en fazla 3 ay için kurulan perakendecilik yöntemi olan </w:t>
            </w:r>
            <w:r w:rsidR="00B10D77" w:rsidRPr="00D536B3">
              <w:t>geçici (pop-up) mağazacılık kapsamında; kira, organizasyon ve pop-up’a özgü diğer tanıtım giderleri desteklenir.</w:t>
            </w:r>
          </w:p>
          <w:p w:rsidR="00B10D77" w:rsidRPr="00B13503" w:rsidRDefault="00A32E8C" w:rsidP="00B10D77">
            <w:pPr>
              <w:jc w:val="both"/>
            </w:pPr>
            <w:r>
              <w:rPr>
                <w:b/>
              </w:rPr>
              <w:t>(7</w:t>
            </w:r>
            <w:r w:rsidR="00B10D77" w:rsidRPr="00B10D77">
              <w:rPr>
                <w:b/>
              </w:rPr>
              <w:t>)</w:t>
            </w:r>
            <w:r w:rsidR="00B10D77" w:rsidRPr="006361B5">
              <w:t xml:space="preserve">  Yurt dışı birime bağlı olarak verilen tanıtım desteği, birimin kapanması ya da destek kapsamından çıkarılması halinde sona erer. Ancak, şirketin 4 yıl destek süresi içerisinde başka birimlere bağlı olarak ya da marka tesciline bağlı olarak tanıtım desteğinden faydalanması mümkündür. Yurt dışı birimin kapanması ya da destek kapsamından çıkarılması ve yurt dışında desteklenen başka bir birimin bulunmaması durumunda tanıtım desteği Tebliğin 14’üncü maddesi çerçevesinde uygulanır. Bu durumda, Tebliğin 13’üncü maddesi çerçevesinde verilmiş olan destek miktarı, 14’üncü madde kapsamında uygulanacak yıllık 250.000 ABD Dolarlık azami destek miktarından mahsup edilir.  </w:t>
            </w:r>
          </w:p>
        </w:tc>
        <w:tc>
          <w:tcPr>
            <w:tcW w:w="4253" w:type="dxa"/>
          </w:tcPr>
          <w:p w:rsidR="00DE06DB" w:rsidRDefault="00DE06DB" w:rsidP="00DE06DB">
            <w:pPr>
              <w:jc w:val="both"/>
              <w:rPr>
                <w:bCs/>
              </w:rPr>
            </w:pPr>
          </w:p>
          <w:p w:rsidR="0098154A" w:rsidRDefault="0098154A" w:rsidP="00DE06DB">
            <w:pPr>
              <w:jc w:val="both"/>
              <w:rPr>
                <w:bCs/>
              </w:rPr>
            </w:pPr>
          </w:p>
          <w:p w:rsidR="0098154A" w:rsidRDefault="0098154A" w:rsidP="00DE06DB">
            <w:pPr>
              <w:jc w:val="both"/>
              <w:rPr>
                <w:bCs/>
              </w:rPr>
            </w:pPr>
          </w:p>
          <w:p w:rsidR="0098154A" w:rsidRDefault="0098154A" w:rsidP="00DE06DB">
            <w:pPr>
              <w:jc w:val="both"/>
              <w:rPr>
                <w:bCs/>
              </w:rPr>
            </w:pPr>
          </w:p>
          <w:p w:rsidR="0098154A" w:rsidRDefault="0098154A" w:rsidP="00DE06DB">
            <w:pPr>
              <w:jc w:val="both"/>
              <w:rPr>
                <w:bCs/>
              </w:rPr>
            </w:pPr>
          </w:p>
          <w:p w:rsidR="0098154A" w:rsidRDefault="0098154A" w:rsidP="00DE06DB">
            <w:pPr>
              <w:jc w:val="both"/>
              <w:rPr>
                <w:bCs/>
              </w:rPr>
            </w:pPr>
          </w:p>
          <w:p w:rsidR="0098154A" w:rsidRDefault="0098154A" w:rsidP="00DE06DB">
            <w:pPr>
              <w:jc w:val="both"/>
              <w:rPr>
                <w:bCs/>
              </w:rPr>
            </w:pPr>
          </w:p>
          <w:p w:rsidR="0098154A" w:rsidRDefault="0098154A" w:rsidP="00DE06DB">
            <w:pPr>
              <w:jc w:val="both"/>
              <w:rPr>
                <w:bCs/>
              </w:rPr>
            </w:pPr>
          </w:p>
          <w:p w:rsidR="0098154A" w:rsidRDefault="0098154A" w:rsidP="00DE06DB">
            <w:pPr>
              <w:jc w:val="both"/>
              <w:rPr>
                <w:bCs/>
              </w:rPr>
            </w:pPr>
          </w:p>
          <w:p w:rsidR="0098154A" w:rsidRDefault="0098154A" w:rsidP="00DE06DB">
            <w:pPr>
              <w:jc w:val="both"/>
              <w:rPr>
                <w:bCs/>
              </w:rPr>
            </w:pPr>
          </w:p>
          <w:p w:rsidR="0098154A" w:rsidRDefault="0098154A" w:rsidP="00DE06DB">
            <w:pPr>
              <w:jc w:val="both"/>
              <w:rPr>
                <w:bCs/>
              </w:rPr>
            </w:pPr>
          </w:p>
          <w:p w:rsidR="0098154A" w:rsidRDefault="0098154A" w:rsidP="00DE06DB">
            <w:pPr>
              <w:jc w:val="both"/>
              <w:rPr>
                <w:bCs/>
              </w:rPr>
            </w:pPr>
          </w:p>
          <w:p w:rsidR="0098154A" w:rsidRDefault="0098154A" w:rsidP="00DE06DB">
            <w:pPr>
              <w:jc w:val="both"/>
              <w:rPr>
                <w:bCs/>
              </w:rPr>
            </w:pPr>
          </w:p>
          <w:p w:rsidR="0098154A" w:rsidRDefault="0098154A" w:rsidP="00DE06DB">
            <w:pPr>
              <w:jc w:val="both"/>
              <w:rPr>
                <w:bCs/>
              </w:rPr>
            </w:pPr>
          </w:p>
          <w:p w:rsidR="0098154A" w:rsidRDefault="0098154A" w:rsidP="00DE06DB">
            <w:pPr>
              <w:jc w:val="both"/>
              <w:rPr>
                <w:bCs/>
              </w:rPr>
            </w:pPr>
          </w:p>
          <w:p w:rsidR="0098154A" w:rsidRDefault="0098154A" w:rsidP="00485C68">
            <w:pPr>
              <w:jc w:val="both"/>
              <w:rPr>
                <w:bCs/>
              </w:rPr>
            </w:pPr>
            <w:r>
              <w:rPr>
                <w:bCs/>
              </w:rPr>
              <w:t>2006/4 sayılı Tebliğ ile uyumlu hale getirilerek Türkçe tanıtım faaliyetleri ile defile/show/seminer kapsamında ulaşım konaklama ve yemek giderlerinin desteklenmediği belirtilmiş</w:t>
            </w:r>
            <w:r w:rsidR="00485C68">
              <w:rPr>
                <w:bCs/>
              </w:rPr>
              <w:t xml:space="preserve"> beşinci fıkra ortak hükümlerde düzenlendiğinden, yedinci fıkra ise üçüncü fıkrada belirtildiğinden 14 üncü maddeden çıkarılmıştır.</w:t>
            </w:r>
          </w:p>
        </w:tc>
      </w:tr>
      <w:tr w:rsidR="0098154A" w:rsidRPr="00583832" w:rsidTr="0098154A">
        <w:tc>
          <w:tcPr>
            <w:tcW w:w="4957" w:type="dxa"/>
          </w:tcPr>
          <w:p w:rsidR="0098154A" w:rsidRDefault="0098154A" w:rsidP="0098154A">
            <w:pPr>
              <w:spacing w:after="120"/>
              <w:jc w:val="both"/>
            </w:pPr>
            <w:r w:rsidRPr="006361B5">
              <w:rPr>
                <w:rFonts w:eastAsia="Calibri"/>
                <w:b/>
              </w:rPr>
              <w:t>MADDE 2</w:t>
            </w:r>
            <w:r>
              <w:rPr>
                <w:rFonts w:eastAsia="Calibri"/>
                <w:b/>
              </w:rPr>
              <w:t>4</w:t>
            </w:r>
            <w:r w:rsidRPr="006361B5">
              <w:rPr>
                <w:rFonts w:eastAsia="Calibri"/>
                <w:b/>
              </w:rPr>
              <w:t xml:space="preserve"> </w:t>
            </w:r>
            <w:r>
              <w:rPr>
                <w:b/>
              </w:rPr>
              <w:t>–</w:t>
            </w:r>
            <w:r w:rsidRPr="006361B5">
              <w:t>(1)</w:t>
            </w:r>
            <w:r w:rsidRPr="006361B5">
              <w:rPr>
                <w:b/>
              </w:rPr>
              <w:t xml:space="preserve"> </w:t>
            </w:r>
            <w:r w:rsidRPr="006361B5">
              <w:t>Şirketlerin kira, tanıtım ve marka tescil harcamalarına ilişkin destek başvuruları başvuruda bulunulan İBGS tarafından, İşbirliği Kuruluşlarının kira ve tanıtım harcamalarına ilişkin destek başvuruları ile</w:t>
            </w:r>
            <w:r w:rsidRPr="006361B5">
              <w:rPr>
                <w:b/>
              </w:rPr>
              <w:t xml:space="preserve"> </w:t>
            </w:r>
            <w:r w:rsidRPr="006361B5">
              <w:t xml:space="preserve">Türkiye Ticaret Merkezine ilişkin harcamalarla ilgili başvurular Bakanlık tarafından sonuçlandırılır. </w:t>
            </w:r>
          </w:p>
          <w:p w:rsidR="0098154A" w:rsidRPr="00F84EC6" w:rsidRDefault="0098154A" w:rsidP="0098154A">
            <w:pPr>
              <w:jc w:val="both"/>
              <w:rPr>
                <w:rFonts w:eastAsia="Calibri"/>
              </w:rPr>
            </w:pPr>
            <w:r w:rsidRPr="00F84EC6">
              <w:t>(2) Destek kapsamındaki şirketin yurt içi ortaklık yapısının değişmesi halinde, değişiklik tarihinden itibaren 1 (bir) ay içerisinde şirketlerin İBGS ve Ticaret Müşaviri/Ataşesi/Bakanlık Temsilcisine yazılı olarak bildirim yapmaları gerekir. Söz konusu bildirimin yapılmaması durumunda, ortaklık yapısı değişikliğinden dolayı haksız olarak yapıldığı tespit edilen ödemeler geri alınır. İlgili birime ilişkin ödemesi henüz gerçekleştirilmeyen başvurular ile müteakip başvurular yeni ortaklık yapısına göre hesaplanan destek oranından desteklenmeye devam olunur.</w:t>
            </w:r>
          </w:p>
          <w:p w:rsidR="0098154A" w:rsidRPr="00441C44" w:rsidRDefault="0098154A" w:rsidP="0098154A">
            <w:pPr>
              <w:jc w:val="both"/>
              <w:rPr>
                <w:b/>
              </w:rPr>
            </w:pPr>
          </w:p>
        </w:tc>
        <w:tc>
          <w:tcPr>
            <w:tcW w:w="4961" w:type="dxa"/>
          </w:tcPr>
          <w:p w:rsidR="0098154A" w:rsidRDefault="0098154A" w:rsidP="0098154A">
            <w:pPr>
              <w:spacing w:after="120"/>
              <w:jc w:val="both"/>
            </w:pPr>
            <w:r w:rsidRPr="006361B5">
              <w:rPr>
                <w:rFonts w:eastAsia="Calibri"/>
                <w:b/>
              </w:rPr>
              <w:t>MADDE 2</w:t>
            </w:r>
            <w:r>
              <w:rPr>
                <w:rFonts w:eastAsia="Calibri"/>
                <w:b/>
              </w:rPr>
              <w:t>4</w:t>
            </w:r>
            <w:r w:rsidRPr="006361B5">
              <w:rPr>
                <w:rFonts w:eastAsia="Calibri"/>
                <w:b/>
              </w:rPr>
              <w:t xml:space="preserve"> </w:t>
            </w:r>
            <w:r>
              <w:rPr>
                <w:b/>
              </w:rPr>
              <w:t>–</w:t>
            </w:r>
            <w:r w:rsidRPr="006361B5">
              <w:t>(1)</w:t>
            </w:r>
            <w:r w:rsidRPr="006361B5">
              <w:rPr>
                <w:b/>
              </w:rPr>
              <w:t xml:space="preserve"> </w:t>
            </w:r>
            <w:r w:rsidRPr="006361B5">
              <w:t>Şirketlerin kira, tanıtım ve marka tescil harcamalarına ilişkin destek başvuruları başvuruda bulunulan İBGS tarafından, İşbirliği Kuruluşlarının kira ve tanıtım harcamalarına ilişkin destek başvuruları ile</w:t>
            </w:r>
            <w:r w:rsidRPr="006361B5">
              <w:rPr>
                <w:b/>
              </w:rPr>
              <w:t xml:space="preserve"> </w:t>
            </w:r>
            <w:r w:rsidRPr="006361B5">
              <w:t xml:space="preserve">Türkiye Ticaret Merkezine ilişkin harcamalarla ilgili başvurular Bakanlık tarafından sonuçlandırılır. </w:t>
            </w:r>
          </w:p>
          <w:p w:rsidR="0098154A" w:rsidRPr="0098154A" w:rsidRDefault="0098154A" w:rsidP="003D6A4D">
            <w:pPr>
              <w:spacing w:after="120"/>
              <w:jc w:val="both"/>
              <w:rPr>
                <w:b/>
              </w:rPr>
            </w:pPr>
            <w:r w:rsidRPr="0098154A">
              <w:rPr>
                <w:b/>
              </w:rPr>
              <w:t>(2) Bu Tebliğ kapsamında kiralanan birimlerde ve gerçekleştirilen tanıtım faaliyetlerinde</w:t>
            </w:r>
            <w:r w:rsidR="00BF2AC5">
              <w:rPr>
                <w:b/>
              </w:rPr>
              <w:t xml:space="preserve">; </w:t>
            </w:r>
            <w:r w:rsidRPr="0098154A">
              <w:rPr>
                <w:b/>
              </w:rPr>
              <w:t>Türk Malı imajına zarar verecek şekilde, ülke menşeini farklı gösteren sembol, şekil, işaret veya ülke, şehir isimlerinin kullanılması durumunda</w:t>
            </w:r>
            <w:r w:rsidR="003D6A4D">
              <w:rPr>
                <w:b/>
              </w:rPr>
              <w:t xml:space="preserve">, </w:t>
            </w:r>
            <w:r w:rsidRPr="0098154A">
              <w:rPr>
                <w:b/>
              </w:rPr>
              <w:t xml:space="preserve">ilgili giderler </w:t>
            </w:r>
            <w:r w:rsidR="003D6A4D">
              <w:rPr>
                <w:b/>
              </w:rPr>
              <w:t>destek kapsamında değerlendirilmez.</w:t>
            </w:r>
          </w:p>
          <w:p w:rsidR="0098154A" w:rsidRPr="00F84EC6" w:rsidRDefault="0098154A" w:rsidP="003D6A4D">
            <w:pPr>
              <w:spacing w:after="120"/>
              <w:jc w:val="both"/>
              <w:rPr>
                <w:rFonts w:eastAsia="Calibri"/>
              </w:rPr>
            </w:pPr>
            <w:r w:rsidRPr="003D6A4D">
              <w:rPr>
                <w:b/>
              </w:rPr>
              <w:t>(3)</w:t>
            </w:r>
            <w:r w:rsidRPr="00F84EC6">
              <w:t xml:space="preserve"> Destek kapsamındaki şirketin yurt içi</w:t>
            </w:r>
            <w:r>
              <w:t>/</w:t>
            </w:r>
            <w:r w:rsidRPr="0098154A">
              <w:rPr>
                <w:b/>
              </w:rPr>
              <w:t>yurt dışı</w:t>
            </w:r>
            <w:r w:rsidRPr="00F84EC6">
              <w:t xml:space="preserve"> ortaklık yapısının değişmesi halinde, değişiklik tarihinden itibaren 1 (bir) ay içerisinde şirketlerin İBGS ve Ticaret Müşaviri/Ataşesi/Bakanlık Temsilcisine yazılı olarak bildirim yapmaları gerekir. Söz konusu bildirimin yapılmaması durumunda, ortaklık yapısı değişikliğinden dolayı haksız olarak yapıldığı tespit edilen ödemeler geri alınır. İlgili birime ilişkin ödemesi henüz gerçekleştirilmeyen başvurular ile müteakip başvurular yeni ortaklık yapısına göre hesaplanan destek oranından desteklenmeye devam olunur.</w:t>
            </w:r>
          </w:p>
          <w:p w:rsidR="0098154A" w:rsidRPr="00441C44" w:rsidRDefault="0098154A" w:rsidP="0098154A">
            <w:pPr>
              <w:jc w:val="both"/>
              <w:rPr>
                <w:b/>
              </w:rPr>
            </w:pPr>
          </w:p>
        </w:tc>
        <w:tc>
          <w:tcPr>
            <w:tcW w:w="4253" w:type="dxa"/>
          </w:tcPr>
          <w:p w:rsidR="0098154A" w:rsidRDefault="0098154A" w:rsidP="0098154A">
            <w:pPr>
              <w:jc w:val="both"/>
              <w:rPr>
                <w:bCs/>
              </w:rPr>
            </w:pPr>
          </w:p>
          <w:p w:rsidR="00B71BFC" w:rsidRDefault="00B71BFC" w:rsidP="0098154A">
            <w:pPr>
              <w:jc w:val="both"/>
              <w:rPr>
                <w:bCs/>
              </w:rPr>
            </w:pPr>
          </w:p>
          <w:p w:rsidR="00B71BFC" w:rsidRDefault="00B71BFC" w:rsidP="0098154A">
            <w:pPr>
              <w:jc w:val="both"/>
              <w:rPr>
                <w:bCs/>
              </w:rPr>
            </w:pPr>
          </w:p>
          <w:p w:rsidR="00B71BFC" w:rsidRDefault="00B71BFC" w:rsidP="0098154A">
            <w:pPr>
              <w:jc w:val="both"/>
              <w:rPr>
                <w:bCs/>
              </w:rPr>
            </w:pPr>
          </w:p>
          <w:p w:rsidR="00B71BFC" w:rsidRDefault="00B71BFC" w:rsidP="0098154A">
            <w:pPr>
              <w:jc w:val="both"/>
              <w:rPr>
                <w:bCs/>
              </w:rPr>
            </w:pPr>
          </w:p>
          <w:p w:rsidR="00B71BFC" w:rsidRDefault="00B71BFC" w:rsidP="0098154A">
            <w:pPr>
              <w:jc w:val="both"/>
              <w:rPr>
                <w:bCs/>
              </w:rPr>
            </w:pPr>
          </w:p>
          <w:p w:rsidR="00B71BFC" w:rsidRDefault="00B71BFC" w:rsidP="0098154A">
            <w:pPr>
              <w:jc w:val="both"/>
              <w:rPr>
                <w:bCs/>
              </w:rPr>
            </w:pPr>
          </w:p>
          <w:p w:rsidR="00B71BFC" w:rsidRDefault="00B71BFC" w:rsidP="0098154A">
            <w:pPr>
              <w:jc w:val="both"/>
              <w:rPr>
                <w:bCs/>
              </w:rPr>
            </w:pPr>
          </w:p>
          <w:p w:rsidR="00B71BFC" w:rsidRDefault="00B71BFC" w:rsidP="0098154A">
            <w:pPr>
              <w:jc w:val="both"/>
              <w:rPr>
                <w:bCs/>
              </w:rPr>
            </w:pPr>
            <w:r>
              <w:rPr>
                <w:bCs/>
              </w:rPr>
              <w:t>Genelgenin tanıtım faaliyetlerinin desteklenmesi bölümünde bulunan hüküm, birimleri de kapsayacak şekilde ortak hüküm olarak yeniden düzenlenmiştir.</w:t>
            </w:r>
          </w:p>
        </w:tc>
      </w:tr>
      <w:tr w:rsidR="00E23ED4" w:rsidRPr="00583832" w:rsidTr="0098154A">
        <w:tc>
          <w:tcPr>
            <w:tcW w:w="4957" w:type="dxa"/>
          </w:tcPr>
          <w:p w:rsidR="00E23ED4" w:rsidRPr="008420C4" w:rsidRDefault="00E23ED4" w:rsidP="00E23ED4">
            <w:pPr>
              <w:jc w:val="both"/>
              <w:rPr>
                <w:strike/>
              </w:rPr>
            </w:pPr>
            <w:r w:rsidRPr="008420C4">
              <w:rPr>
                <w:b/>
                <w:strike/>
              </w:rPr>
              <w:t xml:space="preserve">MADDE 26 - </w:t>
            </w:r>
            <w:r w:rsidRPr="008420C4">
              <w:rPr>
                <w:strike/>
              </w:rPr>
              <w:t>(1) 7201 sayılı Tebligat Kanunu ve ilgili mevzuat çerçevesinde elektronik yolla tebligat yapılması mecbur kılınan bütün şirketlerin/İşbirliği Kuruluşlarının, bu Tebliğ kapsamındaki desteklerden faydalanmaları için KEP adreslerini, bu Uygulama Usul ve Esaslarının ekinde yer alan beyannameyi (EK-7) vermek suretiyle Bakanlığa bildirmeleri  ve eksiklik bildirimlerinin bu adrese yapılması zorunludur.</w:t>
            </w:r>
          </w:p>
          <w:p w:rsidR="00E23ED4" w:rsidRPr="008420C4" w:rsidRDefault="00E23ED4" w:rsidP="00E23ED4">
            <w:pPr>
              <w:jc w:val="both"/>
              <w:rPr>
                <w:strike/>
              </w:rPr>
            </w:pPr>
          </w:p>
          <w:p w:rsidR="00E23ED4" w:rsidRPr="008420C4" w:rsidRDefault="00E23ED4" w:rsidP="00E23ED4">
            <w:pPr>
              <w:jc w:val="both"/>
              <w:rPr>
                <w:strike/>
              </w:rPr>
            </w:pPr>
            <w:r w:rsidRPr="008420C4">
              <w:rPr>
                <w:strike/>
              </w:rPr>
              <w:t>(2) İBGS/Bakanlık, 7201 sayılı Tebligat Kanunu ve ilgili mevzuat çerçevesinde, bildirimlerini KEP adresi aracılığıyla yapar. Elektronik yolla tebligat, bildirimin şirketin/İşbirliği Kuruluşunun elektronik adresine ulaştığı tarihi izleyen beşinci günün sonunda yapılmış sayılır.</w:t>
            </w:r>
          </w:p>
          <w:p w:rsidR="00E23ED4" w:rsidRPr="008420C4" w:rsidRDefault="00E23ED4" w:rsidP="00E23ED4">
            <w:pPr>
              <w:jc w:val="both"/>
              <w:rPr>
                <w:strike/>
              </w:rPr>
            </w:pPr>
          </w:p>
          <w:p w:rsidR="00E23ED4" w:rsidRPr="008420C4" w:rsidRDefault="00E23ED4" w:rsidP="00E23ED4">
            <w:pPr>
              <w:jc w:val="both"/>
              <w:rPr>
                <w:strike/>
              </w:rPr>
            </w:pPr>
            <w:r w:rsidRPr="008420C4">
              <w:rPr>
                <w:strike/>
              </w:rPr>
              <w:t>(3) İBGS/Bakanlık tarafından şirkete/İşbirliği Kuruluşuna iletilen KEP adresi bildirilmesi gerektiğine dair eksik belge talep yazısı iadeli-taahhütlü posta yoluyla gönderilir. KEP adresi bildirimi yükümlülüğünü, eksik bilgi ve belge tamamlama süresi içerisinde yerine getirmeyen şirketlerin/İşbirliği Kuruluşlarının başvuru dosyası işlemden kaldırılır.</w:t>
            </w:r>
          </w:p>
          <w:p w:rsidR="00E23ED4" w:rsidRPr="008420C4" w:rsidRDefault="00E23ED4" w:rsidP="00E23ED4">
            <w:pPr>
              <w:jc w:val="both"/>
              <w:rPr>
                <w:strike/>
              </w:rPr>
            </w:pPr>
          </w:p>
          <w:p w:rsidR="00E23ED4" w:rsidRPr="008420C4" w:rsidRDefault="00E23ED4" w:rsidP="00E23ED4">
            <w:pPr>
              <w:jc w:val="both"/>
              <w:rPr>
                <w:strike/>
              </w:rPr>
            </w:pPr>
            <w:r w:rsidRPr="008420C4">
              <w:rPr>
                <w:strike/>
              </w:rPr>
              <w:t>(4) İBGS/Bakanlık kayıtlarındaki adreslerinin/KEP adreslerinin güncel halde tutulması şirketin/İşbirliği Kuruluşunun yükümlülüğündedir.</w:t>
            </w:r>
          </w:p>
          <w:p w:rsidR="00E23ED4" w:rsidRPr="008420C4" w:rsidRDefault="00E23ED4" w:rsidP="00E23ED4">
            <w:pPr>
              <w:jc w:val="both"/>
              <w:rPr>
                <w:strike/>
              </w:rPr>
            </w:pPr>
          </w:p>
          <w:p w:rsidR="00E23ED4" w:rsidRPr="008420C4" w:rsidRDefault="00E23ED4" w:rsidP="00E23ED4">
            <w:pPr>
              <w:jc w:val="both"/>
              <w:rPr>
                <w:strike/>
              </w:rPr>
            </w:pPr>
            <w:r w:rsidRPr="008420C4">
              <w:rPr>
                <w:strike/>
              </w:rPr>
              <w:t>(5) 7201 sayılı Tebligat Kanunu ve ilgili mevzuat çerçevesinde elektronik yolla tebligat yapılması zorunlu olmayan şirkete/İşbirliği Kuruluşuna yapılacak tebligatlar İBGS/Bakanlık kayıtlarındaki adreslere iadeli-taahhütlü mektup gönderilmek suretiyle yapılır. Posta ile bildirimin herhangi bir sebeple geri dönmesi durumunda, eksik tamamlama süresi postanın geri gelme tarihinde başlatılır.</w:t>
            </w:r>
          </w:p>
          <w:p w:rsidR="00E23ED4" w:rsidRPr="008420C4" w:rsidRDefault="00E23ED4" w:rsidP="00E23ED4">
            <w:pPr>
              <w:spacing w:after="120"/>
              <w:jc w:val="both"/>
              <w:rPr>
                <w:rFonts w:eastAsia="Calibri"/>
                <w:b/>
                <w:strike/>
              </w:rPr>
            </w:pPr>
          </w:p>
        </w:tc>
        <w:tc>
          <w:tcPr>
            <w:tcW w:w="4961" w:type="dxa"/>
          </w:tcPr>
          <w:p w:rsidR="008420C4" w:rsidRPr="008420C4" w:rsidRDefault="00E23ED4" w:rsidP="008420C4">
            <w:pPr>
              <w:jc w:val="both"/>
              <w:rPr>
                <w:b/>
                <w:sz w:val="22"/>
                <w:szCs w:val="22"/>
              </w:rPr>
            </w:pPr>
            <w:r w:rsidRPr="0073506B">
              <w:rPr>
                <w:szCs w:val="18"/>
              </w:rPr>
              <w:t xml:space="preserve"> </w:t>
            </w:r>
            <w:r w:rsidRPr="006361B5">
              <w:rPr>
                <w:b/>
              </w:rPr>
              <w:t>MADDE 2</w:t>
            </w:r>
            <w:r>
              <w:rPr>
                <w:b/>
              </w:rPr>
              <w:t>6</w:t>
            </w:r>
            <w:r w:rsidRPr="006361B5">
              <w:rPr>
                <w:b/>
              </w:rPr>
              <w:t xml:space="preserve"> - </w:t>
            </w:r>
            <w:r w:rsidR="008420C4">
              <w:t xml:space="preserve"> </w:t>
            </w:r>
            <w:r w:rsidR="008420C4" w:rsidRPr="008420C4">
              <w:rPr>
                <w:b/>
              </w:rPr>
              <w:t>(1) İBGS/Bakanlığa ibrazı zorunlu destek ve harcama başvuru belgeleri ile İBGS/Bakanlık tarafından ibrazı talep edilen her türlü bilgi ve belgenin başvuru sahibine ait KEP adresi aracılığıyla İBGS/Bakanlık KEP adresine iletilmesi gerekir. İBGS/Bakanlık başvuru sahibine yapacağı bildirimleri KEP adresi aracılığıyla yapar. İBGS/Bakanlık kayıtlarındaki adreslerinin/KEP adreslerinin güncel halde tutulması başvuru sahibinin yükümlülüğündedir.</w:t>
            </w:r>
          </w:p>
          <w:p w:rsidR="008420C4" w:rsidRPr="008420C4" w:rsidRDefault="008420C4" w:rsidP="008420C4">
            <w:pPr>
              <w:jc w:val="both"/>
              <w:rPr>
                <w:b/>
              </w:rPr>
            </w:pPr>
          </w:p>
          <w:p w:rsidR="008420C4" w:rsidRDefault="003B54D2" w:rsidP="008420C4">
            <w:pPr>
              <w:jc w:val="both"/>
              <w:rPr>
                <w:b/>
              </w:rPr>
            </w:pPr>
            <w:r w:rsidRPr="003B54D2">
              <w:rPr>
                <w:b/>
              </w:rPr>
              <w:t>(2) KEP aracılığıyla iletilen her başvurunun, imza sirküleri ile birlikte sunulması ve başvuruda yer alan belgelerden her birinin başvuru sahibini temsil ve ilzama yetkili kişi/kişiler tarafından 5070 sayılı “Elektronik İmza Kanunu” standartlarına uygun nitelikli elektronik sertifika kullanılarak oluşturulan elektronik imza ile imzalanması ve elektronik imzalı dokümanların dosya uzantılarının .pdf veya .pdf.imz olması zorunludur.</w:t>
            </w:r>
          </w:p>
          <w:p w:rsidR="003B54D2" w:rsidRPr="008420C4" w:rsidRDefault="003B54D2" w:rsidP="008420C4">
            <w:pPr>
              <w:jc w:val="both"/>
              <w:rPr>
                <w:b/>
              </w:rPr>
            </w:pPr>
          </w:p>
          <w:p w:rsidR="008420C4" w:rsidRPr="008420C4" w:rsidRDefault="008420C4" w:rsidP="008420C4">
            <w:pPr>
              <w:jc w:val="both"/>
              <w:rPr>
                <w:b/>
              </w:rPr>
            </w:pPr>
            <w:r w:rsidRPr="008420C4">
              <w:rPr>
                <w:b/>
              </w:rPr>
              <w:t>(3) Birinci ve ikinci fıkralar kapsamında belirlenen kriterleri taşımayan başvurular İBGS/Bakanlık tarafından değerlendirmeye alınmaz.</w:t>
            </w:r>
          </w:p>
          <w:p w:rsidR="00E23ED4" w:rsidRDefault="00E23ED4" w:rsidP="00E23ED4">
            <w:pPr>
              <w:jc w:val="both"/>
              <w:rPr>
                <w:b/>
                <w:color w:val="000000"/>
              </w:rPr>
            </w:pPr>
          </w:p>
        </w:tc>
        <w:tc>
          <w:tcPr>
            <w:tcW w:w="4253" w:type="dxa"/>
          </w:tcPr>
          <w:p w:rsidR="00E23ED4" w:rsidRDefault="00F24702" w:rsidP="00E23ED4">
            <w:pPr>
              <w:jc w:val="both"/>
              <w:rPr>
                <w:bCs/>
              </w:rPr>
            </w:pPr>
            <w:r w:rsidRPr="00F24702">
              <w:rPr>
                <w:bCs/>
              </w:rPr>
              <w:t>Şirketlerin ihracata yönelik devlet desteklerine erişiminin basitleştirilmesini teminen destek başvuru belgeleri de dahil olmak üzere Bakanlığımız ve/veya incelemeci kuruluşlara yapılan her türlü başvurunun KEP aracılığıyla yapılması mümkün kılınmıştır.</w:t>
            </w:r>
          </w:p>
        </w:tc>
      </w:tr>
      <w:tr w:rsidR="00E23ED4" w:rsidRPr="00583832" w:rsidTr="0098154A">
        <w:tc>
          <w:tcPr>
            <w:tcW w:w="4957" w:type="dxa"/>
          </w:tcPr>
          <w:p w:rsidR="00E23ED4" w:rsidRPr="009754D0" w:rsidRDefault="00E23ED4" w:rsidP="00E23ED4">
            <w:pPr>
              <w:jc w:val="both"/>
              <w:rPr>
                <w:strike/>
              </w:rPr>
            </w:pPr>
            <w:r w:rsidRPr="006361B5">
              <w:rPr>
                <w:rFonts w:eastAsia="Calibri"/>
                <w:b/>
              </w:rPr>
              <w:t>MADDE 2</w:t>
            </w:r>
            <w:r>
              <w:rPr>
                <w:rFonts w:eastAsia="Calibri"/>
                <w:b/>
              </w:rPr>
              <w:t>9</w:t>
            </w:r>
            <w:r w:rsidRPr="006361B5">
              <w:rPr>
                <w:rFonts w:eastAsia="Calibri"/>
                <w:b/>
              </w:rPr>
              <w:t xml:space="preserve"> </w:t>
            </w:r>
            <w:r w:rsidRPr="006361B5">
              <w:rPr>
                <w:b/>
              </w:rPr>
              <w:t>-</w:t>
            </w:r>
            <w:r>
              <w:t xml:space="preserve"> (1</w:t>
            </w:r>
            <w:r w:rsidRPr="006361B5">
              <w:t>) Desteklenecek şirketlerin faal olması (yurt içi şirkette istihdam edilen en az bir kişiye ait son altı aya dair Aylık Prim Hizmet Bildirgesinin sunulması ve vergiye konu ticari işlemlerinin b</w:t>
            </w:r>
            <w:r w:rsidRPr="00CD0F1C">
              <w:t xml:space="preserve">ulunması) gerekir. Faal olmadığı ya da Tebliğin amacına uygun faaliyet göstermediği tespit edilen şirketlerin destek başvuruları değerlendirmeye alınmaz. </w:t>
            </w:r>
          </w:p>
          <w:p w:rsidR="00E23ED4" w:rsidRPr="006361B5" w:rsidRDefault="00E23ED4" w:rsidP="00E23ED4">
            <w:pPr>
              <w:ind w:firstLine="720"/>
              <w:jc w:val="both"/>
            </w:pPr>
          </w:p>
          <w:p w:rsidR="00E23ED4" w:rsidRPr="00847A78" w:rsidRDefault="00E23ED4" w:rsidP="00E23ED4">
            <w:pPr>
              <w:jc w:val="both"/>
            </w:pPr>
            <w:r w:rsidRPr="00847A78">
              <w:t>(</w:t>
            </w:r>
            <w:r>
              <w:t>2</w:t>
            </w:r>
            <w:r w:rsidRPr="00847A78">
              <w:t>) Destek talebine konu yurtdışı birimin bulunduğu/tanıtım faaliyetinin gerçekleştiği ülkeden birimde pazarlanan/tanıtım faaliyeti yapılan ürünlere ilişkin Türkiye’ye ithalat olması halinde bu birime/ilgili faaliyete ilişkin giderler desteklenmez.</w:t>
            </w:r>
          </w:p>
          <w:p w:rsidR="00E23ED4" w:rsidRPr="006361B5" w:rsidRDefault="00E23ED4" w:rsidP="00E23ED4">
            <w:pPr>
              <w:jc w:val="both"/>
              <w:rPr>
                <w:b/>
              </w:rPr>
            </w:pPr>
          </w:p>
          <w:p w:rsidR="00E23ED4" w:rsidRPr="006361B5" w:rsidRDefault="00E23ED4" w:rsidP="00E23ED4">
            <w:pPr>
              <w:spacing w:after="120"/>
              <w:jc w:val="both"/>
            </w:pPr>
            <w:r>
              <w:t>(3</w:t>
            </w:r>
            <w:r w:rsidRPr="006361B5">
              <w:t xml:space="preserve">) Şirketlere kira ve tanıtım faaliyetlerine ilişkin verilecek yıllık destek tutarı, Türkiye’den </w:t>
            </w:r>
            <w:r w:rsidRPr="00A74485">
              <w:t>destek başvurusunda bulunulan</w:t>
            </w:r>
            <w:r>
              <w:t xml:space="preserve"> </w:t>
            </w:r>
            <w:r w:rsidRPr="006361B5">
              <w:t>ülkeye yapılan yıllık ihracatının (destek başvuru dönemiyle aynı takvim yılına ait) yarısından fazla olamaz. Bu hüküm ilk destek yılı için uygulanmaz.</w:t>
            </w:r>
          </w:p>
          <w:p w:rsidR="00E23ED4" w:rsidRPr="00BF2AC5" w:rsidRDefault="00E23ED4" w:rsidP="00E23ED4">
            <w:pPr>
              <w:jc w:val="both"/>
            </w:pPr>
            <w:r>
              <w:t>(4</w:t>
            </w:r>
            <w:r w:rsidRPr="00847A78">
              <w:t>) Reklam verilen medya aracının birden çok ülkede yayınlanması ya da dağıtılması durumunda söz konusu ülkelere yapılan toplam ihracat tutarı esas alınır</w:t>
            </w:r>
            <w:r>
              <w:t>.</w:t>
            </w:r>
          </w:p>
        </w:tc>
        <w:tc>
          <w:tcPr>
            <w:tcW w:w="4961" w:type="dxa"/>
          </w:tcPr>
          <w:p w:rsidR="00E23ED4" w:rsidRDefault="00E23ED4" w:rsidP="00E23ED4">
            <w:pPr>
              <w:jc w:val="both"/>
            </w:pPr>
            <w:r w:rsidRPr="006361B5">
              <w:rPr>
                <w:rFonts w:eastAsia="Calibri"/>
                <w:b/>
              </w:rPr>
              <w:t>MADDE 2</w:t>
            </w:r>
            <w:r>
              <w:rPr>
                <w:rFonts w:eastAsia="Calibri"/>
                <w:b/>
              </w:rPr>
              <w:t>9</w:t>
            </w:r>
            <w:r w:rsidRPr="006361B5">
              <w:rPr>
                <w:rFonts w:eastAsia="Calibri"/>
                <w:b/>
              </w:rPr>
              <w:t xml:space="preserve"> </w:t>
            </w:r>
            <w:r w:rsidRPr="006361B5">
              <w:rPr>
                <w:b/>
              </w:rPr>
              <w:t>-</w:t>
            </w:r>
            <w:r>
              <w:t xml:space="preserve"> </w:t>
            </w:r>
            <w:r w:rsidR="00CD0F1C">
              <w:t>(1</w:t>
            </w:r>
            <w:r w:rsidR="00CD0F1C" w:rsidRPr="006361B5">
              <w:t>) Desteklenecek şirketlerin faal olması (yurt içi şirkette istihdam edilen en az bir kişiye ait son altı aya dair Aylık Prim Hizmet Bildirgesinin sunulması ve vergiye konu ticari işlemlerinin b</w:t>
            </w:r>
            <w:r w:rsidR="00CD0F1C" w:rsidRPr="00CD0F1C">
              <w:t>ulunması) gerekir. Faal olmadığı ya da Tebliğin amacına uygun faaliyet göstermediği tespit edilen şirketlerin destek başvuruları değerlendirmeye alınmaz.</w:t>
            </w:r>
          </w:p>
          <w:p w:rsidR="00E23ED4" w:rsidRPr="006361B5" w:rsidRDefault="00E23ED4" w:rsidP="00E23ED4">
            <w:pPr>
              <w:jc w:val="both"/>
            </w:pPr>
          </w:p>
          <w:p w:rsidR="00E23ED4" w:rsidRPr="00847A78" w:rsidRDefault="00E23ED4" w:rsidP="00E23ED4">
            <w:pPr>
              <w:jc w:val="both"/>
            </w:pPr>
            <w:r w:rsidRPr="00847A78">
              <w:t>(</w:t>
            </w:r>
            <w:r>
              <w:t>2</w:t>
            </w:r>
            <w:r w:rsidRPr="00847A78">
              <w:t>) Destek talebine konu yurtdışı birimin bulunduğu/tanıtım faaliyetinin gerçekleştiği ülkeden birimde pazarlanan/tanıtım faaliyeti yapılan ürünlere ilişkin Türkiye’ye ithalat olması halinde bu birime/ilgili faaliyete ilişkin giderler desteklenmez.</w:t>
            </w:r>
            <w:r>
              <w:t xml:space="preserve"> </w:t>
            </w:r>
          </w:p>
          <w:p w:rsidR="00E23ED4" w:rsidRPr="006361B5" w:rsidRDefault="00E23ED4" w:rsidP="00E23ED4">
            <w:pPr>
              <w:jc w:val="both"/>
              <w:rPr>
                <w:b/>
              </w:rPr>
            </w:pPr>
          </w:p>
          <w:p w:rsidR="00E23ED4" w:rsidRDefault="00E23ED4" w:rsidP="00E23ED4">
            <w:pPr>
              <w:spacing w:after="120"/>
              <w:jc w:val="both"/>
            </w:pPr>
            <w:r>
              <w:t>(3</w:t>
            </w:r>
            <w:r w:rsidRPr="006361B5">
              <w:t xml:space="preserve">) Şirketlere kira ve tanıtım faaliyetlerine ilişkin verilecek yıllık destek tutarı, Türkiye’den </w:t>
            </w:r>
            <w:r w:rsidRPr="00A74485">
              <w:t>destek başvurusunda bulunulan</w:t>
            </w:r>
            <w:r>
              <w:t xml:space="preserve"> </w:t>
            </w:r>
            <w:r w:rsidRPr="006361B5">
              <w:t>ülkeye yapılan yıllık ihracatının (destek başvuru dönemiyle aynı takvim yılına ait) yarısından fazla olamaz. Bu hüküm ilk destek yılı için uygulanmaz.</w:t>
            </w:r>
          </w:p>
          <w:p w:rsidR="00E23ED4" w:rsidRDefault="00E23ED4" w:rsidP="00E23ED4">
            <w:pPr>
              <w:spacing w:after="120"/>
              <w:jc w:val="both"/>
              <w:rPr>
                <w:b/>
              </w:rPr>
            </w:pPr>
            <w:r w:rsidRPr="00257EA4">
              <w:rPr>
                <w:b/>
              </w:rPr>
              <w:t xml:space="preserve">(4) Destek başvurusunda bulunan şirketlerin ihracatı </w:t>
            </w:r>
            <w:r w:rsidRPr="007227F6">
              <w:rPr>
                <w:b/>
              </w:rPr>
              <w:t>bu şirketle organik bağı olan şirket ya da aynı holding/şirketler topluluğu</w:t>
            </w:r>
            <w:r>
              <w:rPr>
                <w:b/>
              </w:rPr>
              <w:t xml:space="preserve"> bünyesinde yer alan bir şirketi </w:t>
            </w:r>
            <w:r w:rsidRPr="00257EA4">
              <w:rPr>
                <w:b/>
              </w:rPr>
              <w:t xml:space="preserve">vasıtasıyla gerçekleştirmeleri mümkündür. </w:t>
            </w:r>
          </w:p>
          <w:p w:rsidR="00E23ED4" w:rsidRPr="00BF2AC5" w:rsidRDefault="00E23ED4" w:rsidP="00E23ED4">
            <w:pPr>
              <w:spacing w:after="120"/>
              <w:jc w:val="both"/>
            </w:pPr>
            <w:r w:rsidRPr="00257EA4">
              <w:rPr>
                <w:b/>
              </w:rPr>
              <w:t>(5)</w:t>
            </w:r>
            <w:r w:rsidRPr="00847A78">
              <w:t xml:space="preserve"> Reklam verilen medya aracının birden çok ülkede yayınlanması ya da dağıtılması durumunda söz konusu ülkelere yapılan toplam ihracat tutarı esas alınır</w:t>
            </w:r>
            <w:r>
              <w:t>.</w:t>
            </w:r>
          </w:p>
        </w:tc>
        <w:tc>
          <w:tcPr>
            <w:tcW w:w="4253" w:type="dxa"/>
          </w:tcPr>
          <w:p w:rsidR="00E23ED4" w:rsidRDefault="00B52930" w:rsidP="00B52930">
            <w:pPr>
              <w:jc w:val="both"/>
              <w:rPr>
                <w:bCs/>
              </w:rPr>
            </w:pPr>
            <w:r>
              <w:rPr>
                <w:bCs/>
              </w:rPr>
              <w:t xml:space="preserve">Şirketler tarafından ibraz edilen Aylık Prim Hizmet Bildirgelerinde, şirket ortağının/eşinin/hısımlarının çalışan olarak gösterilerek Genelgenin ilgili hükmünü sağlanmasının önüne geçilmesini teminen düzenleme getirilmiştir. </w:t>
            </w: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p>
          <w:p w:rsidR="00B52930" w:rsidRDefault="00B52930" w:rsidP="00B52930">
            <w:pPr>
              <w:jc w:val="both"/>
              <w:rPr>
                <w:bCs/>
              </w:rPr>
            </w:pPr>
            <w:r>
              <w:rPr>
                <w:bCs/>
              </w:rPr>
              <w:t>Grup şirketlerince ya da organik bağ bulunan şirketlerce de yapılan ihracatın performansa dahil edilmesine ilişkin düzenleme yapılmıştır.</w:t>
            </w:r>
          </w:p>
        </w:tc>
      </w:tr>
      <w:tr w:rsidR="00E23ED4" w:rsidRPr="00583832" w:rsidTr="0098154A">
        <w:tc>
          <w:tcPr>
            <w:tcW w:w="4957" w:type="dxa"/>
          </w:tcPr>
          <w:p w:rsidR="00E23ED4" w:rsidRPr="000E4EED" w:rsidRDefault="00E23ED4" w:rsidP="00E23ED4">
            <w:pPr>
              <w:jc w:val="both"/>
            </w:pPr>
            <w:r w:rsidRPr="006361B5">
              <w:rPr>
                <w:b/>
              </w:rPr>
              <w:t xml:space="preserve">MADDE </w:t>
            </w:r>
            <w:r>
              <w:rPr>
                <w:b/>
              </w:rPr>
              <w:t>30</w:t>
            </w:r>
            <w:r w:rsidRPr="006361B5">
              <w:rPr>
                <w:b/>
              </w:rPr>
              <w:t xml:space="preserve"> </w:t>
            </w:r>
            <w:r w:rsidRPr="006361B5">
              <w:t>(1) 2010/6 sayılı Tebliğ kapsamında desteklenen şirketlerin yurtdışı birimlerinde, birden çok sayıda marka bulunması halinde, bu marka sayısının en az yarısının 2006/4 sayılı Tebliğ kapsamına alınmamış markalar olması şartıyla destek hesaplaması; 2006/4 sayılı Tebliğ kapsamına alınmış söz konusu birimdeki markalar dışındaki markaların sayısının toplam marka sayısına</w:t>
            </w:r>
            <w:r>
              <w:t xml:space="preserve"> oranlanması suretiyle yapılır.</w:t>
            </w:r>
          </w:p>
        </w:tc>
        <w:tc>
          <w:tcPr>
            <w:tcW w:w="4961" w:type="dxa"/>
          </w:tcPr>
          <w:p w:rsidR="00E23ED4" w:rsidRPr="006361B5" w:rsidRDefault="00E23ED4" w:rsidP="00CD0F1C">
            <w:pPr>
              <w:spacing w:after="120"/>
              <w:jc w:val="both"/>
              <w:rPr>
                <w:rFonts w:eastAsia="Calibri"/>
                <w:b/>
              </w:rPr>
            </w:pPr>
            <w:r w:rsidRPr="006361B5">
              <w:rPr>
                <w:b/>
              </w:rPr>
              <w:t xml:space="preserve">MADDE </w:t>
            </w:r>
            <w:r>
              <w:rPr>
                <w:b/>
              </w:rPr>
              <w:t>30</w:t>
            </w:r>
            <w:r w:rsidRPr="006361B5">
              <w:rPr>
                <w:b/>
              </w:rPr>
              <w:t xml:space="preserve"> </w:t>
            </w:r>
            <w:r w:rsidRPr="006361B5">
              <w:t xml:space="preserve">(1) </w:t>
            </w:r>
            <w:r w:rsidR="00CD0F1C" w:rsidRPr="001171A7">
              <w:rPr>
                <w:b/>
              </w:rPr>
              <w:t>Bu Tebliğ</w:t>
            </w:r>
            <w:r w:rsidRPr="001171A7">
              <w:rPr>
                <w:b/>
              </w:rPr>
              <w:t xml:space="preserve"> kapsamında desteklenen </w:t>
            </w:r>
            <w:r w:rsidR="00CD0F1C" w:rsidRPr="001171A7">
              <w:rPr>
                <w:b/>
              </w:rPr>
              <w:t xml:space="preserve">yurtdışı birimlerde </w:t>
            </w:r>
            <w:r w:rsidRPr="001171A7">
              <w:rPr>
                <w:b/>
              </w:rPr>
              <w:t xml:space="preserve">birden çok </w:t>
            </w:r>
            <w:r w:rsidR="00CD0F1C" w:rsidRPr="001171A7">
              <w:rPr>
                <w:b/>
              </w:rPr>
              <w:t xml:space="preserve">sayıda marka bulunması halinde destek hesaplaması, </w:t>
            </w:r>
            <w:r w:rsidRPr="001171A7">
              <w:rPr>
                <w:b/>
              </w:rPr>
              <w:t>2006/4 sayılı Tebliğ kapsamın</w:t>
            </w:r>
            <w:r w:rsidR="00CD0F1C" w:rsidRPr="001171A7">
              <w:rPr>
                <w:b/>
              </w:rPr>
              <w:t>daki</w:t>
            </w:r>
            <w:r w:rsidRPr="001171A7">
              <w:rPr>
                <w:b/>
              </w:rPr>
              <w:t xml:space="preserve"> markaların sayısının toplam marka sayısına oranlanması suretiyle yapılır.</w:t>
            </w:r>
          </w:p>
        </w:tc>
        <w:tc>
          <w:tcPr>
            <w:tcW w:w="4253" w:type="dxa"/>
          </w:tcPr>
          <w:p w:rsidR="00E23ED4" w:rsidRDefault="00E23ED4" w:rsidP="00CD0F1C">
            <w:pPr>
              <w:jc w:val="both"/>
              <w:rPr>
                <w:bCs/>
              </w:rPr>
            </w:pPr>
            <w:r>
              <w:rPr>
                <w:bCs/>
              </w:rPr>
              <w:t>2006/4 sayılı Tebliğ’de 20/6/2017 tarihinde yapılan değişiklikle, söz konusu Tebliğ kapsamında bulunmayan şirketler ile markalarının diğer Devlet yardımlarından yararlanabileceği düzenlendiğind</w:t>
            </w:r>
            <w:r w:rsidR="00CD0F1C">
              <w:rPr>
                <w:bCs/>
              </w:rPr>
              <w:t>en Genelgenin 30 uncu maddesi yeniden düzenlenmiştir.</w:t>
            </w:r>
          </w:p>
        </w:tc>
      </w:tr>
      <w:tr w:rsidR="008420C4" w:rsidRPr="00583832" w:rsidTr="0098154A">
        <w:tc>
          <w:tcPr>
            <w:tcW w:w="4957" w:type="dxa"/>
          </w:tcPr>
          <w:p w:rsidR="008420C4" w:rsidRPr="008420C4" w:rsidRDefault="008420C4" w:rsidP="008420C4">
            <w:pPr>
              <w:jc w:val="both"/>
            </w:pPr>
            <w:r w:rsidRPr="008420C4">
              <w:rPr>
                <w:b/>
              </w:rPr>
              <w:t xml:space="preserve">MADDE 32  </w:t>
            </w:r>
            <w:r w:rsidRPr="008420C4">
              <w:t xml:space="preserve">(1) İnceleme neticesinde destek ödemesi yapılabilmesi için destek ödemesi yapılacak şirketin, İşbirliği Kuruluşunun, TİM’in, TİM’in Türkiye’de kurduğu şirketin veya TİM ile diğer İşbirliği Kuruluşu/Kuruluşları ortaklığında Türkiye’de kurulan şirketin Maliye Bakanlığı ile Sosyal Güvenlik Kurumuna vadesi geçmiş vergi ve sosyal güvenlik borcu bulunmadığına ilişkin belge ya da vergi ve/veya sosyal güvenlik borçları yeniden yapılandırılmış ise yeniden yapılandırma sözleşmesine uyulduğuna ilişkin belgenin ibrazını müteakip uygun görülen hak ediş miktarına </w:t>
            </w:r>
            <w:r w:rsidRPr="004D3EB2">
              <w:rPr>
                <w:strike/>
              </w:rPr>
              <w:t>ilişkin ödeme talimatı Türkiye Cumhuriyet Merkez Bankasına, bilgi yazısı ise destek ödemesinin yapılacağı tarafa gönderilir.</w:t>
            </w:r>
          </w:p>
          <w:p w:rsidR="008420C4" w:rsidRPr="00B52930" w:rsidRDefault="008420C4" w:rsidP="008420C4">
            <w:pPr>
              <w:jc w:val="both"/>
            </w:pPr>
            <w:r w:rsidRPr="008420C4">
              <w:t xml:space="preserve">(2)  Destek ödemesi yapılacak şirketin, İşbirliği Kuruluşunun, TİM’in, TİM’in Türkiye’de kurduğu şirketin veya TİM ile diğer İşbirliği Kuruluşu/Kuruluşları ortaklığında Türkiye’de kurulan şirketin borcunun bulunduğunun tespit edilmesi halinde mahsup </w:t>
            </w:r>
            <w:r w:rsidRPr="00B52930">
              <w:t>işlemi aşağıdaki şekilde yapılır:</w:t>
            </w:r>
          </w:p>
          <w:p w:rsidR="008420C4" w:rsidRPr="008420C4" w:rsidRDefault="008420C4" w:rsidP="008420C4">
            <w:pPr>
              <w:jc w:val="both"/>
            </w:pPr>
          </w:p>
          <w:p w:rsidR="008420C4" w:rsidRPr="00B52930" w:rsidRDefault="008420C4" w:rsidP="008420C4">
            <w:pPr>
              <w:jc w:val="both"/>
            </w:pPr>
            <w:r w:rsidRPr="00B52930">
              <w:t xml:space="preserve">a) Ödenecek hakediş tutarının borçların tamamını karşılaması halinde her iki kuruma ilgili tutarın gönderilmesini teminen ödeme talimatı TCMB’ye, destek başvurusu sonucuna ilişkin bilgi yazısı ise başvuru sahibine intikal ettirilir. Bakiye varsa şirkete ve İşbirliği Kuruluşuna ödenmesini teminen ödeme talimatı TCMB’ye, destek başvurusu sonucuna ilişkin bilgi yazısı ise başvuru sahibine intikal ettirilir. </w:t>
            </w:r>
          </w:p>
          <w:p w:rsidR="008420C4" w:rsidRPr="00BF53F9" w:rsidRDefault="008420C4" w:rsidP="008420C4">
            <w:pPr>
              <w:jc w:val="both"/>
              <w:rPr>
                <w:strike/>
              </w:rPr>
            </w:pPr>
            <w:r w:rsidRPr="00B52930">
              <w:t xml:space="preserve">b) Ödenecek hakediş tutarının borçların tamamını karşılamaması halinde ise borç durumunu gösterir belgelerde yer alan tutarların hakedişe orantılanması suretiyle her iki kuruma dağıtım </w:t>
            </w:r>
            <w:r w:rsidRPr="00BF53F9">
              <w:rPr>
                <w:strike/>
              </w:rPr>
              <w:t>yapılmasını teminen ödeme talimatı TCMB’ye, destek başvurusu sonucuna ilişkin bilgi yazısı ise başvuru sahibine intikal ettirilir.</w:t>
            </w:r>
          </w:p>
          <w:p w:rsidR="008420C4" w:rsidRPr="006361B5" w:rsidRDefault="008420C4" w:rsidP="008420C4">
            <w:pPr>
              <w:jc w:val="both"/>
              <w:rPr>
                <w:b/>
              </w:rPr>
            </w:pPr>
            <w:r w:rsidRPr="00B52930">
              <w:t xml:space="preserve">c) </w:t>
            </w:r>
            <w:r w:rsidRPr="001E05A4">
              <w:rPr>
                <w:strike/>
              </w:rPr>
              <w:t>Borçlu tarafından mahsup talebinde bulunulmadan ya da mahsup talebinde bulunulmakla birlikte</w:t>
            </w:r>
            <w:r w:rsidRPr="00B52930">
              <w:t xml:space="preserve"> mahsup işlemi gerçekleşmeden her iki kurumdan birisi tarafından haciz konulmuşsa, haczi koyan kurumun alacağının tamamının ödenmesini </w:t>
            </w:r>
            <w:r w:rsidRPr="00BF53F9">
              <w:rPr>
                <w:strike/>
              </w:rPr>
              <w:t>teminen ödeme talimatı TCMB’ye, destek başvurusu sonucuna ilişkin bilgi yazısı ise başvuru sahibine intikal ettirilir.</w:t>
            </w:r>
            <w:r w:rsidRPr="00B52930">
              <w:t xml:space="preserve"> Haczedilen tutarın ilgili kuruma gönderilmesinden önce diğer kurum tarafından da haciz konulması halinde ise ilk haczi koyan kurumun alacağının tamamının </w:t>
            </w:r>
            <w:r w:rsidRPr="00BF53F9">
              <w:rPr>
                <w:strike/>
              </w:rPr>
              <w:t>ödenmesini teminen ödeme talimatı TCMB’ye, destek başvurusu sonucuna ilişkin bilgi yazısı ise başvuru sahibine intikal ettirilir.</w:t>
            </w:r>
            <w:r w:rsidRPr="00B52930">
              <w:t xml:space="preserve"> Bakiye varsa koyduğu hacze istinaden diğer kuruma gönderilmesini </w:t>
            </w:r>
            <w:r w:rsidRPr="00BF53F9">
              <w:rPr>
                <w:strike/>
              </w:rPr>
              <w:t>teminen ödeme talimatı TCMB’ye, destek başvurusu sonucuna ilişkin bilgi yazısı ise başvuru sahibine intikal ettirilir.</w:t>
            </w:r>
          </w:p>
        </w:tc>
        <w:tc>
          <w:tcPr>
            <w:tcW w:w="4961" w:type="dxa"/>
          </w:tcPr>
          <w:p w:rsidR="004D3EB2" w:rsidRPr="004D3EB2" w:rsidRDefault="004D3EB2" w:rsidP="00B52930">
            <w:pPr>
              <w:jc w:val="both"/>
              <w:rPr>
                <w:b/>
                <w:sz w:val="23"/>
                <w:szCs w:val="23"/>
              </w:rPr>
            </w:pPr>
            <w:r w:rsidRPr="008420C4">
              <w:rPr>
                <w:b/>
              </w:rPr>
              <w:t xml:space="preserve">MADDE 32  </w:t>
            </w:r>
            <w:r w:rsidRPr="008420C4">
              <w:t xml:space="preserve">(1) </w:t>
            </w:r>
            <w:r w:rsidR="00E03A85" w:rsidRPr="00E03A85">
              <w:rPr>
                <w:b/>
              </w:rPr>
              <w:t>Destek başvurularının i</w:t>
            </w:r>
            <w:r w:rsidRPr="00E03A85">
              <w:rPr>
                <w:b/>
              </w:rPr>
              <w:t>ncele</w:t>
            </w:r>
            <w:r w:rsidR="00E03A85" w:rsidRPr="00E03A85">
              <w:rPr>
                <w:b/>
              </w:rPr>
              <w:t>n</w:t>
            </w:r>
            <w:r w:rsidRPr="00E03A85">
              <w:rPr>
                <w:b/>
              </w:rPr>
              <w:t>me</w:t>
            </w:r>
            <w:r w:rsidR="00E03A85" w:rsidRPr="00E03A85">
              <w:rPr>
                <w:b/>
              </w:rPr>
              <w:t>si</w:t>
            </w:r>
            <w:r w:rsidRPr="008420C4">
              <w:t xml:space="preserve"> neticesinde destek ödemesi yapılabilmesi için destek ödemesi yapılacak şirketin, İşbirliği Kuruluşunun, </w:t>
            </w:r>
            <w:r w:rsidRPr="00BF53F9">
              <w:t>TİM</w:t>
            </w:r>
            <w:r w:rsidR="00BF53F9" w:rsidRPr="00BF53F9">
              <w:t xml:space="preserve"> </w:t>
            </w:r>
            <w:r w:rsidR="00B52930" w:rsidRPr="00BF53F9">
              <w:t xml:space="preserve">veya </w:t>
            </w:r>
            <w:r w:rsidR="00B52930" w:rsidRPr="00BF53F9">
              <w:rPr>
                <w:b/>
              </w:rPr>
              <w:t>TOBB</w:t>
            </w:r>
            <w:r w:rsidRPr="00BF53F9">
              <w:rPr>
                <w:b/>
              </w:rPr>
              <w:t>’</w:t>
            </w:r>
            <w:r w:rsidR="00B52930" w:rsidRPr="00BF53F9">
              <w:rPr>
                <w:b/>
              </w:rPr>
              <w:t>un</w:t>
            </w:r>
            <w:r w:rsidRPr="00BF53F9">
              <w:t xml:space="preserve">, </w:t>
            </w:r>
            <w:r w:rsidR="00B52930" w:rsidRPr="00BF53F9">
              <w:t xml:space="preserve">TİM </w:t>
            </w:r>
            <w:r w:rsidR="00B52930" w:rsidRPr="00BF53F9">
              <w:rPr>
                <w:b/>
              </w:rPr>
              <w:t>ve/veya TOBB’un</w:t>
            </w:r>
            <w:r w:rsidR="00B52930" w:rsidRPr="00BF53F9">
              <w:t xml:space="preserve"> Türkiye’de kurduğu şirketin, TİM </w:t>
            </w:r>
            <w:r w:rsidR="00B52930" w:rsidRPr="00BF53F9">
              <w:rPr>
                <w:b/>
              </w:rPr>
              <w:t>ve/veya TOBB ya da</w:t>
            </w:r>
            <w:r w:rsidR="00B52930" w:rsidRPr="00BF53F9">
              <w:t xml:space="preserve"> TİM ve/veya</w:t>
            </w:r>
            <w:r w:rsidR="00B52930" w:rsidRPr="00BF53F9">
              <w:rPr>
                <w:b/>
              </w:rPr>
              <w:t xml:space="preserve"> TOBB’un</w:t>
            </w:r>
            <w:r w:rsidR="00B52930" w:rsidRPr="00BF53F9">
              <w:t xml:space="preserve"> Türkiye’de kurduğu şirket ile diğer İşbirliği Kuruluşu/Kuruluşları ortaklığında Türkiye’de kurulan şirketin</w:t>
            </w:r>
            <w:r w:rsidRPr="00B52930">
              <w:rPr>
                <w:b/>
              </w:rPr>
              <w:t xml:space="preserve"> </w:t>
            </w:r>
            <w:r w:rsidRPr="008420C4">
              <w:t>Maliye Bakanlığı ile Sosyal Güvenlik Kurumuna vadesi geçmiş vergi ve sosyal güvenlik borcu bulunmadığına ilişkin belge ya da vergi ve/veya sosyal güvenlik borçları yeniden yapılandırılmış ise yeniden yapılandırma sözleşmesine uyulduğuna ili</w:t>
            </w:r>
            <w:r>
              <w:t xml:space="preserve">şkin belgenin ibrazını müteakip hakediş miktarı hesaplanır. </w:t>
            </w:r>
            <w:r w:rsidRPr="004D3EB2">
              <w:rPr>
                <w:b/>
              </w:rPr>
              <w:t>De</w:t>
            </w:r>
            <w:r w:rsidRPr="004D3EB2">
              <w:rPr>
                <w:b/>
                <w:sz w:val="23"/>
                <w:szCs w:val="23"/>
              </w:rPr>
              <w:t xml:space="preserve">stek kapsamındaki şirketin/kuruluşun borçsuzluk durumuna ilişkin Maliye Bakanlığı ve Sosyal Güvenlik Kurumu nezdinde sorgulama re’sen yapılabilir. </w:t>
            </w:r>
          </w:p>
          <w:p w:rsidR="00B52930" w:rsidRPr="00B52930" w:rsidRDefault="004D3EB2" w:rsidP="00B52930">
            <w:pPr>
              <w:jc w:val="both"/>
            </w:pPr>
            <w:r w:rsidRPr="004D3EB2">
              <w:t>(</w:t>
            </w:r>
            <w:r w:rsidR="00B52930" w:rsidRPr="008420C4">
              <w:t xml:space="preserve">2)  Destek ödemesi yapılacak şirketin, İşbirliği Kuruluşunun, </w:t>
            </w:r>
            <w:r w:rsidR="00BF53F9" w:rsidRPr="00BF53F9">
              <w:t xml:space="preserve">TİM veya </w:t>
            </w:r>
            <w:r w:rsidR="00BF53F9" w:rsidRPr="00BF53F9">
              <w:rPr>
                <w:b/>
              </w:rPr>
              <w:t>TOBB’un</w:t>
            </w:r>
            <w:r w:rsidR="00BF53F9" w:rsidRPr="00BF53F9">
              <w:t xml:space="preserve">, TİM </w:t>
            </w:r>
            <w:r w:rsidR="00BF53F9" w:rsidRPr="00BF53F9">
              <w:rPr>
                <w:b/>
              </w:rPr>
              <w:t>ve/veya TOBB’un</w:t>
            </w:r>
            <w:r w:rsidR="00BF53F9" w:rsidRPr="00BF53F9">
              <w:t xml:space="preserve"> Türkiye’de kurduğu şirketin, TİM </w:t>
            </w:r>
            <w:r w:rsidR="00BF53F9" w:rsidRPr="00BF53F9">
              <w:rPr>
                <w:b/>
              </w:rPr>
              <w:t>ve/veya TOBB ya da</w:t>
            </w:r>
            <w:r w:rsidR="00BF53F9" w:rsidRPr="00BF53F9">
              <w:t xml:space="preserve"> TİM ve/veya</w:t>
            </w:r>
            <w:r w:rsidR="00BF53F9" w:rsidRPr="00BF53F9">
              <w:rPr>
                <w:b/>
              </w:rPr>
              <w:t xml:space="preserve"> TOBB’un</w:t>
            </w:r>
            <w:r w:rsidR="00BF53F9" w:rsidRPr="00BF53F9">
              <w:t xml:space="preserve"> Türkiye’de kurduğu şirket ile diğer İşbirliği Kuruluşu/Kuruluşları ortaklığında Türkiye’de kurulan şirketin</w:t>
            </w:r>
            <w:r w:rsidR="00BF53F9">
              <w:t xml:space="preserve"> </w:t>
            </w:r>
            <w:r w:rsidR="00B52930" w:rsidRPr="008420C4">
              <w:t xml:space="preserve">borcunun bulunduğunun tespit edilmesi halinde mahsup </w:t>
            </w:r>
            <w:r w:rsidR="00B52930" w:rsidRPr="00B52930">
              <w:t>işlemi aşağıdaki şekilde yapılır:</w:t>
            </w:r>
          </w:p>
          <w:p w:rsidR="00B52930" w:rsidRDefault="00B52930" w:rsidP="00B52930">
            <w:pPr>
              <w:jc w:val="both"/>
              <w:rPr>
                <w:strike/>
              </w:rPr>
            </w:pPr>
          </w:p>
          <w:p w:rsidR="00B52930" w:rsidRPr="00B52930" w:rsidRDefault="00B52930" w:rsidP="00B52930">
            <w:pPr>
              <w:jc w:val="both"/>
            </w:pPr>
            <w:r w:rsidRPr="00B52930">
              <w:t>a) Ödenecek hakediş tutarının borçların tamamını karşılaması halinde her iki kuruma ilgili tutarın gönderil</w:t>
            </w:r>
            <w:r>
              <w:t>ir.</w:t>
            </w:r>
            <w:r w:rsidRPr="00B52930">
              <w:t xml:space="preserve"> Bakiye varsa </w:t>
            </w:r>
            <w:r w:rsidR="00BF53F9">
              <w:t>şirkete</w:t>
            </w:r>
            <w:r w:rsidR="00BF53F9" w:rsidRPr="008420C4">
              <w:t xml:space="preserve"> İşbirliği Kuruluşun</w:t>
            </w:r>
            <w:r w:rsidR="00BF53F9">
              <w:t>a</w:t>
            </w:r>
            <w:r w:rsidR="00BF53F9" w:rsidRPr="008420C4">
              <w:t xml:space="preserve">, </w:t>
            </w:r>
            <w:r w:rsidR="00BF53F9" w:rsidRPr="00BF53F9">
              <w:t xml:space="preserve">TİM </w:t>
            </w:r>
            <w:r w:rsidR="00BF53F9" w:rsidRPr="00BF53F9">
              <w:rPr>
                <w:b/>
              </w:rPr>
              <w:t>ve veya TOBB’a,</w:t>
            </w:r>
            <w:r w:rsidR="00BF53F9" w:rsidRPr="00BF53F9">
              <w:t xml:space="preserve"> TİM ve/veya </w:t>
            </w:r>
            <w:r w:rsidR="00BF53F9" w:rsidRPr="00BF53F9">
              <w:rPr>
                <w:b/>
              </w:rPr>
              <w:t xml:space="preserve">TOBB’un </w:t>
            </w:r>
            <w:r w:rsidR="00BF53F9" w:rsidRPr="00BF53F9">
              <w:t xml:space="preserve">Türkiye’de kurduğu şirkete, TİM ve/veya </w:t>
            </w:r>
            <w:r w:rsidR="00BF53F9" w:rsidRPr="00BF53F9">
              <w:rPr>
                <w:b/>
              </w:rPr>
              <w:t xml:space="preserve">TOBB </w:t>
            </w:r>
            <w:r w:rsidR="00BF53F9" w:rsidRPr="00BF53F9">
              <w:t xml:space="preserve">ya da TİM ve/veya </w:t>
            </w:r>
            <w:r w:rsidR="00BF53F9" w:rsidRPr="00BF53F9">
              <w:rPr>
                <w:b/>
              </w:rPr>
              <w:t xml:space="preserve">TOBB’un </w:t>
            </w:r>
            <w:r w:rsidR="00BF53F9" w:rsidRPr="00BF53F9">
              <w:t>Türkiye’de kurduğu şirket ile diğer İşbirliği Kuruluşu/Kuruluşları ortaklığında Türkiye’de kurulan şirkete</w:t>
            </w:r>
            <w:r w:rsidR="00BF53F9">
              <w:rPr>
                <w:b/>
              </w:rPr>
              <w:t xml:space="preserve"> ödeme yapılır.</w:t>
            </w:r>
          </w:p>
          <w:p w:rsidR="00B52930" w:rsidRPr="00B52930" w:rsidRDefault="00B52930" w:rsidP="00B52930">
            <w:pPr>
              <w:jc w:val="both"/>
            </w:pPr>
            <w:r w:rsidRPr="00B52930">
              <w:t>b) Ödenecek hakediş tutarının borçların tamamını karşılamaması halinde ise borç durumunu gösterir belgelerde yer alan tutarların hakedişe orantılanması suretiyle her iki kuruma dağıtım</w:t>
            </w:r>
            <w:r w:rsidR="00BF53F9">
              <w:t xml:space="preserve"> </w:t>
            </w:r>
            <w:r w:rsidR="00BF53F9" w:rsidRPr="00BF53F9">
              <w:rPr>
                <w:b/>
              </w:rPr>
              <w:t>yapılır.</w:t>
            </w:r>
            <w:r w:rsidR="00BF53F9">
              <w:t xml:space="preserve"> </w:t>
            </w:r>
            <w:r w:rsidRPr="00B52930">
              <w:t xml:space="preserve"> </w:t>
            </w:r>
          </w:p>
          <w:p w:rsidR="008420C4" w:rsidRPr="006361B5" w:rsidRDefault="00B52930" w:rsidP="001E05A4">
            <w:pPr>
              <w:jc w:val="both"/>
              <w:rPr>
                <w:b/>
              </w:rPr>
            </w:pPr>
            <w:r w:rsidRPr="00B52930">
              <w:t xml:space="preserve">c) </w:t>
            </w:r>
            <w:r w:rsidR="001E05A4">
              <w:t>M</w:t>
            </w:r>
            <w:r w:rsidRPr="00B52930">
              <w:t>ahsup işlemi gerçekleşmeden her iki kurumdan birisi tarafından haciz konulmuşsa, haczi koyan kurumun alacağının tamamı</w:t>
            </w:r>
            <w:r w:rsidR="00BF53F9">
              <w:t xml:space="preserve"> </w:t>
            </w:r>
            <w:r w:rsidR="00BF53F9" w:rsidRPr="00BF53F9">
              <w:rPr>
                <w:b/>
              </w:rPr>
              <w:t>ödenir.</w:t>
            </w:r>
            <w:r w:rsidRPr="00B52930">
              <w:t xml:space="preserve"> Haczedilen tutarın ilgili kuruma gönderilmesinden önce diğer kurum tarafından da haciz konulması halinde ise ilk haczi koyan kurumun alacağının tamamı</w:t>
            </w:r>
            <w:r w:rsidR="00BF53F9">
              <w:t xml:space="preserve"> </w:t>
            </w:r>
            <w:r w:rsidR="00BF53F9" w:rsidRPr="00BF53F9">
              <w:rPr>
                <w:b/>
              </w:rPr>
              <w:t>ödenir</w:t>
            </w:r>
            <w:r w:rsidR="00BF53F9">
              <w:t>.</w:t>
            </w:r>
            <w:r w:rsidRPr="00B52930">
              <w:t xml:space="preserve"> Bakiye varsa koyduğu hacze istinaden diğer kuruma</w:t>
            </w:r>
            <w:r w:rsidR="00BF53F9" w:rsidRPr="00BF53F9">
              <w:t xml:space="preserve"> </w:t>
            </w:r>
            <w:r w:rsidR="00BF53F9" w:rsidRPr="00BF53F9">
              <w:rPr>
                <w:b/>
              </w:rPr>
              <w:t>g</w:t>
            </w:r>
            <w:r w:rsidRPr="00BF53F9">
              <w:rPr>
                <w:b/>
              </w:rPr>
              <w:t>önderil</w:t>
            </w:r>
            <w:r w:rsidR="00BF53F9" w:rsidRPr="00BF53F9">
              <w:rPr>
                <w:b/>
              </w:rPr>
              <w:t>ir.</w:t>
            </w:r>
            <w:r w:rsidRPr="00B52930">
              <w:t xml:space="preserve"> </w:t>
            </w:r>
          </w:p>
        </w:tc>
        <w:tc>
          <w:tcPr>
            <w:tcW w:w="4253" w:type="dxa"/>
          </w:tcPr>
          <w:p w:rsidR="004D3EB2" w:rsidRDefault="00F24702" w:rsidP="004D3EB2">
            <w:pPr>
              <w:jc w:val="both"/>
              <w:rPr>
                <w:bCs/>
              </w:rPr>
            </w:pPr>
            <w:r w:rsidRPr="00F24702">
              <w:rPr>
                <w:bCs/>
              </w:rPr>
              <w:t>26/11/2017 tarihinde yürürlüğe giren İhracata Yönelik Devlet Yardımları Kapsamında Destekleme ve Fiyat İstikrar Fonundan Yapılan Ödemelere İlişkin Usul ve Esaslar Hakkında Yönetmelikte Değişiklik Yapılmasına Dair Yönetmelik hükümleri mevzuata yansıtılmıştır.</w:t>
            </w:r>
          </w:p>
        </w:tc>
      </w:tr>
      <w:tr w:rsidR="00E23ED4" w:rsidRPr="00583832" w:rsidTr="0098154A">
        <w:tc>
          <w:tcPr>
            <w:tcW w:w="4957" w:type="dxa"/>
          </w:tcPr>
          <w:p w:rsidR="00E23ED4" w:rsidRPr="002F4432" w:rsidRDefault="00E23ED4" w:rsidP="00E23ED4">
            <w:pPr>
              <w:jc w:val="both"/>
              <w:rPr>
                <w:b/>
              </w:rPr>
            </w:pPr>
            <w:r w:rsidRPr="006361B5">
              <w:rPr>
                <w:rFonts w:eastAsia="Calibri"/>
                <w:b/>
              </w:rPr>
              <w:t>MA</w:t>
            </w:r>
            <w:r>
              <w:rPr>
                <w:rFonts w:eastAsia="Calibri"/>
                <w:b/>
              </w:rPr>
              <w:t>DDE 34</w:t>
            </w:r>
            <w:r w:rsidRPr="006361B5">
              <w:rPr>
                <w:rFonts w:eastAsia="Calibri"/>
                <w:b/>
              </w:rPr>
              <w:t xml:space="preserve"> </w:t>
            </w:r>
            <w:r>
              <w:rPr>
                <w:b/>
              </w:rPr>
              <w:t>–</w:t>
            </w:r>
            <w:r w:rsidRPr="006361B5">
              <w:t xml:space="preserve">(1) </w:t>
            </w:r>
            <w:r>
              <w:t>Bu Genelge</w:t>
            </w:r>
            <w:r w:rsidRPr="0063605A">
              <w:t>ye ilişkin talimatlar vermeye, özel ve zorunlu durumlar ile mücbir sebep hallerinde ortaya çıkacak hususları inceleyip sonuçlandırmaya Bakanlık (İhracat Genel Müdürlüğü) yetkilidir.</w:t>
            </w:r>
          </w:p>
        </w:tc>
        <w:tc>
          <w:tcPr>
            <w:tcW w:w="4961" w:type="dxa"/>
          </w:tcPr>
          <w:p w:rsidR="00E23ED4" w:rsidRPr="006361B5" w:rsidRDefault="00E23ED4" w:rsidP="00E23ED4">
            <w:pPr>
              <w:spacing w:after="120"/>
              <w:jc w:val="both"/>
              <w:rPr>
                <w:rFonts w:eastAsia="Calibri"/>
                <w:b/>
              </w:rPr>
            </w:pPr>
            <w:r w:rsidRPr="006361B5">
              <w:rPr>
                <w:rFonts w:eastAsia="Calibri"/>
                <w:b/>
              </w:rPr>
              <w:t>MA</w:t>
            </w:r>
            <w:r>
              <w:rPr>
                <w:rFonts w:eastAsia="Calibri"/>
                <w:b/>
              </w:rPr>
              <w:t>DDE 34</w:t>
            </w:r>
            <w:r w:rsidRPr="006361B5">
              <w:rPr>
                <w:rFonts w:eastAsia="Calibri"/>
                <w:b/>
              </w:rPr>
              <w:t xml:space="preserve"> </w:t>
            </w:r>
            <w:r>
              <w:rPr>
                <w:b/>
              </w:rPr>
              <w:t>–</w:t>
            </w:r>
            <w:r w:rsidRPr="006361B5">
              <w:t xml:space="preserve">(1) </w:t>
            </w:r>
            <w:r w:rsidRPr="002F4432">
              <w:rPr>
                <w:rFonts w:eastAsia="Calibri"/>
                <w:b/>
              </w:rPr>
              <w:t xml:space="preserve">İşbu Genelge eklerinde değişiklik yapmaya, </w:t>
            </w:r>
            <w:r w:rsidRPr="002F4432">
              <w:rPr>
                <w:rFonts w:eastAsia="Calibri"/>
              </w:rPr>
              <w:t>bu Genelgeye ilişkin talimatlar vermeye, özel ve zorunlu durumlar ile mücbir sebep hallerinde ortaya çıkacak hususları inceleyip sonuçlandırmaya Bakanlık (İhracat Genel Müdürlüğü) yetkilidir.</w:t>
            </w:r>
          </w:p>
        </w:tc>
        <w:tc>
          <w:tcPr>
            <w:tcW w:w="4253" w:type="dxa"/>
          </w:tcPr>
          <w:p w:rsidR="00E23ED4" w:rsidRDefault="00E23ED4" w:rsidP="00E23ED4">
            <w:pPr>
              <w:jc w:val="both"/>
              <w:rPr>
                <w:bCs/>
              </w:rPr>
            </w:pPr>
            <w:r>
              <w:rPr>
                <w:bCs/>
              </w:rPr>
              <w:t>Diğer İhracata Yönelik Devlet Yardımlarına ilişkin Genelgelerle uyumlu hale getirilerek, eklerin Genel Müdürlükçe değiştirilmesi düzenlenmiştir.</w:t>
            </w:r>
          </w:p>
        </w:tc>
      </w:tr>
      <w:tr w:rsidR="00E23ED4" w:rsidRPr="00583832" w:rsidTr="00CD7133">
        <w:trPr>
          <w:trHeight w:val="439"/>
        </w:trPr>
        <w:tc>
          <w:tcPr>
            <w:tcW w:w="4957" w:type="dxa"/>
          </w:tcPr>
          <w:p w:rsidR="00E23ED4" w:rsidRPr="006361B5" w:rsidRDefault="00E23ED4" w:rsidP="00E23ED4">
            <w:pPr>
              <w:jc w:val="both"/>
              <w:rPr>
                <w:rFonts w:eastAsia="Calibri"/>
                <w:b/>
              </w:rPr>
            </w:pPr>
          </w:p>
        </w:tc>
        <w:tc>
          <w:tcPr>
            <w:tcW w:w="4961" w:type="dxa"/>
          </w:tcPr>
          <w:p w:rsidR="00E23ED4" w:rsidRPr="00E23ED4" w:rsidRDefault="00E015A3" w:rsidP="00206D0E">
            <w:pPr>
              <w:spacing w:before="100" w:beforeAutospacing="1" w:after="100" w:afterAutospacing="1"/>
              <w:ind w:right="22"/>
              <w:jc w:val="both"/>
              <w:rPr>
                <w:b/>
              </w:rPr>
            </w:pPr>
            <w:r>
              <w:rPr>
                <w:b/>
                <w:szCs w:val="18"/>
              </w:rPr>
              <w:t>GEÇİCİ MADDE 2</w:t>
            </w:r>
            <w:r w:rsidR="00E23ED4" w:rsidRPr="00E27000">
              <w:rPr>
                <w:b/>
                <w:szCs w:val="18"/>
              </w:rPr>
              <w:t xml:space="preserve"> – </w:t>
            </w:r>
            <w:r w:rsidR="0000106F">
              <w:t xml:space="preserve"> </w:t>
            </w:r>
            <w:r w:rsidR="00206D0E">
              <w:rPr>
                <w:b/>
                <w:szCs w:val="18"/>
              </w:rPr>
              <w:t xml:space="preserve"> (1) 31/03/2018 tarihine (bu tarih dahil) kadar İBGS/Bakanlık kayıtlarına giren başvurular için işbu maddenin yürürlüğe girdiği tarihten önce yürürlükte bulunan Genelgenin 26 ncı maddesinde öngörülen başvuru usulleri de uygulanabilir.</w:t>
            </w:r>
          </w:p>
        </w:tc>
        <w:tc>
          <w:tcPr>
            <w:tcW w:w="4253" w:type="dxa"/>
          </w:tcPr>
          <w:p w:rsidR="00E23ED4" w:rsidRDefault="00E23ED4" w:rsidP="00E23ED4">
            <w:pPr>
              <w:jc w:val="both"/>
              <w:rPr>
                <w:bCs/>
              </w:rPr>
            </w:pPr>
          </w:p>
        </w:tc>
      </w:tr>
    </w:tbl>
    <w:p w:rsidR="0037288B" w:rsidRPr="00583832" w:rsidRDefault="0037288B" w:rsidP="00AB4B8A">
      <w:pPr>
        <w:jc w:val="center"/>
      </w:pPr>
    </w:p>
    <w:sectPr w:rsidR="0037288B" w:rsidRPr="00583832" w:rsidSect="00371B35">
      <w:footerReference w:type="default" r:id="rId8"/>
      <w:pgSz w:w="16838" w:h="11906" w:orient="landscape"/>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4FE" w:rsidRDefault="009B24FE" w:rsidP="00371B35">
      <w:r>
        <w:separator/>
      </w:r>
    </w:p>
  </w:endnote>
  <w:endnote w:type="continuationSeparator" w:id="0">
    <w:p w:rsidR="009B24FE" w:rsidRDefault="009B24FE" w:rsidP="0037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75846"/>
      <w:docPartObj>
        <w:docPartGallery w:val="Page Numbers (Bottom of Page)"/>
        <w:docPartUnique/>
      </w:docPartObj>
    </w:sdtPr>
    <w:sdtEndPr/>
    <w:sdtContent>
      <w:p w:rsidR="009E45AF" w:rsidRDefault="009E45AF">
        <w:pPr>
          <w:pStyle w:val="Altbilgi"/>
          <w:jc w:val="center"/>
        </w:pPr>
        <w:r>
          <w:fldChar w:fldCharType="begin"/>
        </w:r>
        <w:r>
          <w:instrText>PAGE   \* MERGEFORMAT</w:instrText>
        </w:r>
        <w:r>
          <w:fldChar w:fldCharType="separate"/>
        </w:r>
        <w:r w:rsidR="00617A74">
          <w:rPr>
            <w:noProof/>
          </w:rPr>
          <w:t>1</w:t>
        </w:r>
        <w:r>
          <w:fldChar w:fldCharType="end"/>
        </w:r>
        <w:r>
          <w:t>/</w:t>
        </w:r>
        <w:r w:rsidR="00405566">
          <w:t>12</w:t>
        </w:r>
      </w:p>
    </w:sdtContent>
  </w:sdt>
  <w:p w:rsidR="009E45AF" w:rsidRDefault="009E45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4FE" w:rsidRDefault="009B24FE" w:rsidP="00371B35">
      <w:r>
        <w:separator/>
      </w:r>
    </w:p>
  </w:footnote>
  <w:footnote w:type="continuationSeparator" w:id="0">
    <w:p w:rsidR="009B24FE" w:rsidRDefault="009B24FE" w:rsidP="00371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139"/>
    <w:multiLevelType w:val="hybridMultilevel"/>
    <w:tmpl w:val="DF70848A"/>
    <w:lvl w:ilvl="0" w:tplc="357AEFF4">
      <w:start w:val="1"/>
      <w:numFmt w:val="bullet"/>
      <w:lvlText w:val=""/>
      <w:lvlJc w:val="left"/>
      <w:pPr>
        <w:tabs>
          <w:tab w:val="num" w:pos="720"/>
        </w:tabs>
        <w:ind w:left="720" w:hanging="360"/>
      </w:pPr>
      <w:rPr>
        <w:rFonts w:ascii="Wingdings" w:hAnsi="Wingdings" w:hint="default"/>
      </w:rPr>
    </w:lvl>
    <w:lvl w:ilvl="1" w:tplc="FAEE3292" w:tentative="1">
      <w:start w:val="1"/>
      <w:numFmt w:val="bullet"/>
      <w:lvlText w:val=""/>
      <w:lvlJc w:val="left"/>
      <w:pPr>
        <w:tabs>
          <w:tab w:val="num" w:pos="1440"/>
        </w:tabs>
        <w:ind w:left="1440" w:hanging="360"/>
      </w:pPr>
      <w:rPr>
        <w:rFonts w:ascii="Wingdings" w:hAnsi="Wingdings" w:hint="default"/>
      </w:rPr>
    </w:lvl>
    <w:lvl w:ilvl="2" w:tplc="6F4E7DD0" w:tentative="1">
      <w:start w:val="1"/>
      <w:numFmt w:val="bullet"/>
      <w:lvlText w:val=""/>
      <w:lvlJc w:val="left"/>
      <w:pPr>
        <w:tabs>
          <w:tab w:val="num" w:pos="2160"/>
        </w:tabs>
        <w:ind w:left="2160" w:hanging="360"/>
      </w:pPr>
      <w:rPr>
        <w:rFonts w:ascii="Wingdings" w:hAnsi="Wingdings" w:hint="default"/>
      </w:rPr>
    </w:lvl>
    <w:lvl w:ilvl="3" w:tplc="37788352" w:tentative="1">
      <w:start w:val="1"/>
      <w:numFmt w:val="bullet"/>
      <w:lvlText w:val=""/>
      <w:lvlJc w:val="left"/>
      <w:pPr>
        <w:tabs>
          <w:tab w:val="num" w:pos="2880"/>
        </w:tabs>
        <w:ind w:left="2880" w:hanging="360"/>
      </w:pPr>
      <w:rPr>
        <w:rFonts w:ascii="Wingdings" w:hAnsi="Wingdings" w:hint="default"/>
      </w:rPr>
    </w:lvl>
    <w:lvl w:ilvl="4" w:tplc="4EB04400" w:tentative="1">
      <w:start w:val="1"/>
      <w:numFmt w:val="bullet"/>
      <w:lvlText w:val=""/>
      <w:lvlJc w:val="left"/>
      <w:pPr>
        <w:tabs>
          <w:tab w:val="num" w:pos="3600"/>
        </w:tabs>
        <w:ind w:left="3600" w:hanging="360"/>
      </w:pPr>
      <w:rPr>
        <w:rFonts w:ascii="Wingdings" w:hAnsi="Wingdings" w:hint="default"/>
      </w:rPr>
    </w:lvl>
    <w:lvl w:ilvl="5" w:tplc="03146E7A" w:tentative="1">
      <w:start w:val="1"/>
      <w:numFmt w:val="bullet"/>
      <w:lvlText w:val=""/>
      <w:lvlJc w:val="left"/>
      <w:pPr>
        <w:tabs>
          <w:tab w:val="num" w:pos="4320"/>
        </w:tabs>
        <w:ind w:left="4320" w:hanging="360"/>
      </w:pPr>
      <w:rPr>
        <w:rFonts w:ascii="Wingdings" w:hAnsi="Wingdings" w:hint="default"/>
      </w:rPr>
    </w:lvl>
    <w:lvl w:ilvl="6" w:tplc="DB18E2BC" w:tentative="1">
      <w:start w:val="1"/>
      <w:numFmt w:val="bullet"/>
      <w:lvlText w:val=""/>
      <w:lvlJc w:val="left"/>
      <w:pPr>
        <w:tabs>
          <w:tab w:val="num" w:pos="5040"/>
        </w:tabs>
        <w:ind w:left="5040" w:hanging="360"/>
      </w:pPr>
      <w:rPr>
        <w:rFonts w:ascii="Wingdings" w:hAnsi="Wingdings" w:hint="default"/>
      </w:rPr>
    </w:lvl>
    <w:lvl w:ilvl="7" w:tplc="C074C94E" w:tentative="1">
      <w:start w:val="1"/>
      <w:numFmt w:val="bullet"/>
      <w:lvlText w:val=""/>
      <w:lvlJc w:val="left"/>
      <w:pPr>
        <w:tabs>
          <w:tab w:val="num" w:pos="5760"/>
        </w:tabs>
        <w:ind w:left="5760" w:hanging="360"/>
      </w:pPr>
      <w:rPr>
        <w:rFonts w:ascii="Wingdings" w:hAnsi="Wingdings" w:hint="default"/>
      </w:rPr>
    </w:lvl>
    <w:lvl w:ilvl="8" w:tplc="458A2D5E" w:tentative="1">
      <w:start w:val="1"/>
      <w:numFmt w:val="bullet"/>
      <w:lvlText w:val=""/>
      <w:lvlJc w:val="left"/>
      <w:pPr>
        <w:tabs>
          <w:tab w:val="num" w:pos="6480"/>
        </w:tabs>
        <w:ind w:left="6480" w:hanging="360"/>
      </w:pPr>
      <w:rPr>
        <w:rFonts w:ascii="Wingdings" w:hAnsi="Wingdings" w:hint="default"/>
      </w:rPr>
    </w:lvl>
  </w:abstractNum>
  <w:abstractNum w:abstractNumId="1">
    <w:nsid w:val="0ACF5337"/>
    <w:multiLevelType w:val="hybridMultilevel"/>
    <w:tmpl w:val="4A064A3C"/>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F95046F"/>
    <w:multiLevelType w:val="hybridMultilevel"/>
    <w:tmpl w:val="21480EB0"/>
    <w:lvl w:ilvl="0" w:tplc="EF3EADD8">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BC210F9"/>
    <w:multiLevelType w:val="hybridMultilevel"/>
    <w:tmpl w:val="9230B534"/>
    <w:lvl w:ilvl="0" w:tplc="140693D6">
      <w:start w:val="1"/>
      <w:numFmt w:val="lowerLetter"/>
      <w:lvlText w:val="%1)"/>
      <w:lvlJc w:val="left"/>
      <w:pPr>
        <w:ind w:left="36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1BE97067"/>
    <w:multiLevelType w:val="hybridMultilevel"/>
    <w:tmpl w:val="AEEE79FE"/>
    <w:lvl w:ilvl="0" w:tplc="B284DE10">
      <w:start w:val="1"/>
      <w:numFmt w:val="upperLetter"/>
      <w:lvlText w:val="%1-"/>
      <w:lvlJc w:val="left"/>
      <w:pPr>
        <w:tabs>
          <w:tab w:val="num" w:pos="720"/>
        </w:tabs>
        <w:ind w:left="720" w:hanging="360"/>
      </w:pPr>
      <w:rPr>
        <w:rFonts w:hint="default"/>
      </w:rPr>
    </w:lvl>
    <w:lvl w:ilvl="1" w:tplc="041F0017">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F344D19"/>
    <w:multiLevelType w:val="hybridMultilevel"/>
    <w:tmpl w:val="E7A0A6C8"/>
    <w:lvl w:ilvl="0" w:tplc="9D206520">
      <w:start w:val="1"/>
      <w:numFmt w:val="decimal"/>
      <w:lvlText w:val="%1."/>
      <w:lvlJc w:val="left"/>
      <w:pPr>
        <w:tabs>
          <w:tab w:val="num" w:pos="720"/>
        </w:tabs>
        <w:ind w:left="720" w:hanging="360"/>
      </w:pPr>
      <w:rPr>
        <w:rFonts w:hint="default"/>
        <w:b/>
        <w:i w:val="0"/>
      </w:rPr>
    </w:lvl>
    <w:lvl w:ilvl="1" w:tplc="C4C2DF8A">
      <w:start w:val="1"/>
      <w:numFmt w:val="lowerLetter"/>
      <w:lvlText w:val="%2)"/>
      <w:lvlJc w:val="left"/>
      <w:pPr>
        <w:tabs>
          <w:tab w:val="num" w:pos="1440"/>
        </w:tabs>
        <w:ind w:left="1440" w:hanging="360"/>
      </w:pPr>
      <w:rPr>
        <w:rFonts w:hint="default"/>
        <w:b/>
        <w:i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16A281A"/>
    <w:multiLevelType w:val="hybridMultilevel"/>
    <w:tmpl w:val="255491CE"/>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2333064E"/>
    <w:multiLevelType w:val="hybridMultilevel"/>
    <w:tmpl w:val="D42AE0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5427CA3"/>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9247B72"/>
    <w:multiLevelType w:val="hybridMultilevel"/>
    <w:tmpl w:val="43A80950"/>
    <w:lvl w:ilvl="0" w:tplc="9D206520">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E11048A"/>
    <w:multiLevelType w:val="hybridMultilevel"/>
    <w:tmpl w:val="CA6C1444"/>
    <w:lvl w:ilvl="0" w:tplc="9D206520">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11246C6"/>
    <w:multiLevelType w:val="hybridMultilevel"/>
    <w:tmpl w:val="56186DF8"/>
    <w:lvl w:ilvl="0" w:tplc="27E6F2CC">
      <w:numFmt w:val="bullet"/>
      <w:lvlText w:val=""/>
      <w:lvlJc w:val="left"/>
      <w:pPr>
        <w:tabs>
          <w:tab w:val="num" w:pos="1068"/>
        </w:tabs>
        <w:ind w:left="1068" w:hanging="360"/>
      </w:pPr>
      <w:rPr>
        <w:rFonts w:ascii="Wingdings" w:eastAsia="Times New Roman" w:hAnsi="Wingdings" w:cs="Tahoma" w:hint="default"/>
      </w:rPr>
    </w:lvl>
    <w:lvl w:ilvl="1" w:tplc="041F0001">
      <w:start w:val="1"/>
      <w:numFmt w:val="bullet"/>
      <w:lvlText w:val=""/>
      <w:lvlJc w:val="left"/>
      <w:pPr>
        <w:tabs>
          <w:tab w:val="num" w:pos="2103"/>
        </w:tabs>
        <w:ind w:left="2103" w:hanging="360"/>
      </w:pPr>
      <w:rPr>
        <w:rFonts w:ascii="Symbol" w:hAnsi="Symbol" w:hint="default"/>
      </w:rPr>
    </w:lvl>
    <w:lvl w:ilvl="2" w:tplc="041F0005" w:tentative="1">
      <w:start w:val="1"/>
      <w:numFmt w:val="bullet"/>
      <w:lvlText w:val=""/>
      <w:lvlJc w:val="left"/>
      <w:pPr>
        <w:tabs>
          <w:tab w:val="num" w:pos="2823"/>
        </w:tabs>
        <w:ind w:left="2823" w:hanging="360"/>
      </w:pPr>
      <w:rPr>
        <w:rFonts w:ascii="Wingdings" w:hAnsi="Wingdings" w:hint="default"/>
      </w:rPr>
    </w:lvl>
    <w:lvl w:ilvl="3" w:tplc="041F0001" w:tentative="1">
      <w:start w:val="1"/>
      <w:numFmt w:val="bullet"/>
      <w:lvlText w:val=""/>
      <w:lvlJc w:val="left"/>
      <w:pPr>
        <w:tabs>
          <w:tab w:val="num" w:pos="3543"/>
        </w:tabs>
        <w:ind w:left="3543" w:hanging="360"/>
      </w:pPr>
      <w:rPr>
        <w:rFonts w:ascii="Symbol" w:hAnsi="Symbol" w:hint="default"/>
      </w:rPr>
    </w:lvl>
    <w:lvl w:ilvl="4" w:tplc="041F0003" w:tentative="1">
      <w:start w:val="1"/>
      <w:numFmt w:val="bullet"/>
      <w:lvlText w:val="o"/>
      <w:lvlJc w:val="left"/>
      <w:pPr>
        <w:tabs>
          <w:tab w:val="num" w:pos="4263"/>
        </w:tabs>
        <w:ind w:left="4263" w:hanging="360"/>
      </w:pPr>
      <w:rPr>
        <w:rFonts w:ascii="Courier New" w:hAnsi="Courier New" w:cs="Courier New" w:hint="default"/>
      </w:rPr>
    </w:lvl>
    <w:lvl w:ilvl="5" w:tplc="041F0005" w:tentative="1">
      <w:start w:val="1"/>
      <w:numFmt w:val="bullet"/>
      <w:lvlText w:val=""/>
      <w:lvlJc w:val="left"/>
      <w:pPr>
        <w:tabs>
          <w:tab w:val="num" w:pos="4983"/>
        </w:tabs>
        <w:ind w:left="4983" w:hanging="360"/>
      </w:pPr>
      <w:rPr>
        <w:rFonts w:ascii="Wingdings" w:hAnsi="Wingdings" w:hint="default"/>
      </w:rPr>
    </w:lvl>
    <w:lvl w:ilvl="6" w:tplc="041F0001" w:tentative="1">
      <w:start w:val="1"/>
      <w:numFmt w:val="bullet"/>
      <w:lvlText w:val=""/>
      <w:lvlJc w:val="left"/>
      <w:pPr>
        <w:tabs>
          <w:tab w:val="num" w:pos="5703"/>
        </w:tabs>
        <w:ind w:left="5703" w:hanging="360"/>
      </w:pPr>
      <w:rPr>
        <w:rFonts w:ascii="Symbol" w:hAnsi="Symbol" w:hint="default"/>
      </w:rPr>
    </w:lvl>
    <w:lvl w:ilvl="7" w:tplc="041F0003" w:tentative="1">
      <w:start w:val="1"/>
      <w:numFmt w:val="bullet"/>
      <w:lvlText w:val="o"/>
      <w:lvlJc w:val="left"/>
      <w:pPr>
        <w:tabs>
          <w:tab w:val="num" w:pos="6423"/>
        </w:tabs>
        <w:ind w:left="6423" w:hanging="360"/>
      </w:pPr>
      <w:rPr>
        <w:rFonts w:ascii="Courier New" w:hAnsi="Courier New" w:cs="Courier New" w:hint="default"/>
      </w:rPr>
    </w:lvl>
    <w:lvl w:ilvl="8" w:tplc="041F0005" w:tentative="1">
      <w:start w:val="1"/>
      <w:numFmt w:val="bullet"/>
      <w:lvlText w:val=""/>
      <w:lvlJc w:val="left"/>
      <w:pPr>
        <w:tabs>
          <w:tab w:val="num" w:pos="7143"/>
        </w:tabs>
        <w:ind w:left="7143" w:hanging="360"/>
      </w:pPr>
      <w:rPr>
        <w:rFonts w:ascii="Wingdings" w:hAnsi="Wingdings" w:hint="default"/>
      </w:rPr>
    </w:lvl>
  </w:abstractNum>
  <w:abstractNum w:abstractNumId="12">
    <w:nsid w:val="39D553A5"/>
    <w:multiLevelType w:val="hybridMultilevel"/>
    <w:tmpl w:val="A6906A54"/>
    <w:lvl w:ilvl="0" w:tplc="041F0001">
      <w:start w:val="1"/>
      <w:numFmt w:val="bullet"/>
      <w:lvlText w:val=""/>
      <w:lvlJc w:val="left"/>
      <w:pPr>
        <w:tabs>
          <w:tab w:val="num" w:pos="360"/>
        </w:tabs>
        <w:ind w:left="360" w:hanging="360"/>
      </w:pPr>
      <w:rPr>
        <w:rFonts w:ascii="Symbol" w:hAnsi="Symbol" w:hint="default"/>
        <w:b/>
        <w:i w:val="0"/>
        <w:color w:val="auto"/>
      </w:rPr>
    </w:lvl>
    <w:lvl w:ilvl="1" w:tplc="041F0001">
      <w:start w:val="1"/>
      <w:numFmt w:val="bullet"/>
      <w:lvlText w:val=""/>
      <w:lvlJc w:val="left"/>
      <w:pPr>
        <w:tabs>
          <w:tab w:val="num" w:pos="720"/>
        </w:tabs>
        <w:ind w:left="720" w:hanging="360"/>
      </w:pPr>
      <w:rPr>
        <w:rFonts w:ascii="Symbol" w:hAnsi="Symbol" w:hint="default"/>
        <w:b/>
        <w:i w:val="0"/>
        <w:color w:val="auto"/>
      </w:rPr>
    </w:lvl>
    <w:lvl w:ilvl="2" w:tplc="041F001B">
      <w:start w:val="1"/>
      <w:numFmt w:val="lowerRoman"/>
      <w:lvlText w:val="%3."/>
      <w:lvlJc w:val="right"/>
      <w:pPr>
        <w:tabs>
          <w:tab w:val="num" w:pos="1440"/>
        </w:tabs>
        <w:ind w:left="1440" w:hanging="180"/>
      </w:pPr>
    </w:lvl>
    <w:lvl w:ilvl="3" w:tplc="041F000F">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13">
    <w:nsid w:val="3D676614"/>
    <w:multiLevelType w:val="hybridMultilevel"/>
    <w:tmpl w:val="CA6C1444"/>
    <w:lvl w:ilvl="0" w:tplc="9D206520">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1DF4DEF"/>
    <w:multiLevelType w:val="hybridMultilevel"/>
    <w:tmpl w:val="9230B534"/>
    <w:lvl w:ilvl="0" w:tplc="140693D6">
      <w:start w:val="1"/>
      <w:numFmt w:val="lowerLetter"/>
      <w:lvlText w:val="%1)"/>
      <w:lvlJc w:val="left"/>
      <w:pPr>
        <w:ind w:left="36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45CC53F2"/>
    <w:multiLevelType w:val="hybridMultilevel"/>
    <w:tmpl w:val="515C9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2ED1AFE"/>
    <w:multiLevelType w:val="hybridMultilevel"/>
    <w:tmpl w:val="EE389BFA"/>
    <w:lvl w:ilvl="0" w:tplc="00DAEE42">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694224"/>
    <w:multiLevelType w:val="hybridMultilevel"/>
    <w:tmpl w:val="D42AE0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7C41D13"/>
    <w:multiLevelType w:val="hybridMultilevel"/>
    <w:tmpl w:val="16C618D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68AF52AA"/>
    <w:multiLevelType w:val="hybridMultilevel"/>
    <w:tmpl w:val="F606FAC8"/>
    <w:lvl w:ilvl="0" w:tplc="6978B3AA">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AB44C79"/>
    <w:multiLevelType w:val="hybridMultilevel"/>
    <w:tmpl w:val="E7A0A6C8"/>
    <w:lvl w:ilvl="0" w:tplc="9D206520">
      <w:start w:val="1"/>
      <w:numFmt w:val="decimal"/>
      <w:lvlText w:val="%1."/>
      <w:lvlJc w:val="left"/>
      <w:pPr>
        <w:tabs>
          <w:tab w:val="num" w:pos="720"/>
        </w:tabs>
        <w:ind w:left="720" w:hanging="360"/>
      </w:pPr>
      <w:rPr>
        <w:rFonts w:hint="default"/>
        <w:b/>
        <w:i w:val="0"/>
      </w:rPr>
    </w:lvl>
    <w:lvl w:ilvl="1" w:tplc="C4C2DF8A">
      <w:start w:val="1"/>
      <w:numFmt w:val="lowerLetter"/>
      <w:lvlText w:val="%2)"/>
      <w:lvlJc w:val="left"/>
      <w:pPr>
        <w:tabs>
          <w:tab w:val="num" w:pos="1440"/>
        </w:tabs>
        <w:ind w:left="1440" w:hanging="360"/>
      </w:pPr>
      <w:rPr>
        <w:rFonts w:hint="default"/>
        <w:b/>
        <w:i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6B572480"/>
    <w:multiLevelType w:val="hybridMultilevel"/>
    <w:tmpl w:val="9B360354"/>
    <w:lvl w:ilvl="0" w:tplc="27E6F2CC">
      <w:numFmt w:val="bullet"/>
      <w:lvlText w:val=""/>
      <w:lvlJc w:val="left"/>
      <w:pPr>
        <w:tabs>
          <w:tab w:val="num" w:pos="1065"/>
        </w:tabs>
        <w:ind w:left="1065" w:hanging="360"/>
      </w:pPr>
      <w:rPr>
        <w:rFonts w:ascii="Wingdings" w:eastAsia="Times New Roman" w:hAnsi="Wingdings" w:cs="Tahoma" w:hint="default"/>
      </w:rPr>
    </w:lvl>
    <w:lvl w:ilvl="1" w:tplc="041F0003" w:tentative="1">
      <w:start w:val="1"/>
      <w:numFmt w:val="bullet"/>
      <w:lvlText w:val="o"/>
      <w:lvlJc w:val="left"/>
      <w:pPr>
        <w:tabs>
          <w:tab w:val="num" w:pos="2100"/>
        </w:tabs>
        <w:ind w:left="2100" w:hanging="360"/>
      </w:pPr>
      <w:rPr>
        <w:rFonts w:ascii="Courier New" w:hAnsi="Courier New" w:cs="Courier New" w:hint="default"/>
      </w:rPr>
    </w:lvl>
    <w:lvl w:ilvl="2" w:tplc="041F0005" w:tentative="1">
      <w:start w:val="1"/>
      <w:numFmt w:val="bullet"/>
      <w:lvlText w:val=""/>
      <w:lvlJc w:val="left"/>
      <w:pPr>
        <w:tabs>
          <w:tab w:val="num" w:pos="2820"/>
        </w:tabs>
        <w:ind w:left="2820" w:hanging="360"/>
      </w:pPr>
      <w:rPr>
        <w:rFonts w:ascii="Wingdings" w:hAnsi="Wingdings" w:hint="default"/>
      </w:rPr>
    </w:lvl>
    <w:lvl w:ilvl="3" w:tplc="041F0001" w:tentative="1">
      <w:start w:val="1"/>
      <w:numFmt w:val="bullet"/>
      <w:lvlText w:val=""/>
      <w:lvlJc w:val="left"/>
      <w:pPr>
        <w:tabs>
          <w:tab w:val="num" w:pos="3540"/>
        </w:tabs>
        <w:ind w:left="3540" w:hanging="360"/>
      </w:pPr>
      <w:rPr>
        <w:rFonts w:ascii="Symbol" w:hAnsi="Symbol" w:hint="default"/>
      </w:rPr>
    </w:lvl>
    <w:lvl w:ilvl="4" w:tplc="041F0003" w:tentative="1">
      <w:start w:val="1"/>
      <w:numFmt w:val="bullet"/>
      <w:lvlText w:val="o"/>
      <w:lvlJc w:val="left"/>
      <w:pPr>
        <w:tabs>
          <w:tab w:val="num" w:pos="4260"/>
        </w:tabs>
        <w:ind w:left="4260" w:hanging="360"/>
      </w:pPr>
      <w:rPr>
        <w:rFonts w:ascii="Courier New" w:hAnsi="Courier New" w:cs="Courier New" w:hint="default"/>
      </w:rPr>
    </w:lvl>
    <w:lvl w:ilvl="5" w:tplc="041F0005" w:tentative="1">
      <w:start w:val="1"/>
      <w:numFmt w:val="bullet"/>
      <w:lvlText w:val=""/>
      <w:lvlJc w:val="left"/>
      <w:pPr>
        <w:tabs>
          <w:tab w:val="num" w:pos="4980"/>
        </w:tabs>
        <w:ind w:left="4980" w:hanging="360"/>
      </w:pPr>
      <w:rPr>
        <w:rFonts w:ascii="Wingdings" w:hAnsi="Wingdings" w:hint="default"/>
      </w:rPr>
    </w:lvl>
    <w:lvl w:ilvl="6" w:tplc="041F0001" w:tentative="1">
      <w:start w:val="1"/>
      <w:numFmt w:val="bullet"/>
      <w:lvlText w:val=""/>
      <w:lvlJc w:val="left"/>
      <w:pPr>
        <w:tabs>
          <w:tab w:val="num" w:pos="5700"/>
        </w:tabs>
        <w:ind w:left="5700" w:hanging="360"/>
      </w:pPr>
      <w:rPr>
        <w:rFonts w:ascii="Symbol" w:hAnsi="Symbol" w:hint="default"/>
      </w:rPr>
    </w:lvl>
    <w:lvl w:ilvl="7" w:tplc="041F0003" w:tentative="1">
      <w:start w:val="1"/>
      <w:numFmt w:val="bullet"/>
      <w:lvlText w:val="o"/>
      <w:lvlJc w:val="left"/>
      <w:pPr>
        <w:tabs>
          <w:tab w:val="num" w:pos="6420"/>
        </w:tabs>
        <w:ind w:left="6420" w:hanging="360"/>
      </w:pPr>
      <w:rPr>
        <w:rFonts w:ascii="Courier New" w:hAnsi="Courier New" w:cs="Courier New" w:hint="default"/>
      </w:rPr>
    </w:lvl>
    <w:lvl w:ilvl="8" w:tplc="041F0005" w:tentative="1">
      <w:start w:val="1"/>
      <w:numFmt w:val="bullet"/>
      <w:lvlText w:val=""/>
      <w:lvlJc w:val="left"/>
      <w:pPr>
        <w:tabs>
          <w:tab w:val="num" w:pos="7140"/>
        </w:tabs>
        <w:ind w:left="7140" w:hanging="360"/>
      </w:pPr>
      <w:rPr>
        <w:rFonts w:ascii="Wingdings" w:hAnsi="Wingdings" w:hint="default"/>
      </w:rPr>
    </w:lvl>
  </w:abstractNum>
  <w:abstractNum w:abstractNumId="22">
    <w:nsid w:val="6CAB2571"/>
    <w:multiLevelType w:val="hybridMultilevel"/>
    <w:tmpl w:val="3334BDC6"/>
    <w:lvl w:ilvl="0" w:tplc="041F0017">
      <w:start w:val="1"/>
      <w:numFmt w:val="lowerLetter"/>
      <w:lvlText w:val="%1)"/>
      <w:lvlJc w:val="left"/>
      <w:pPr>
        <w:ind w:left="1352"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72445928"/>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79F34250"/>
    <w:multiLevelType w:val="hybridMultilevel"/>
    <w:tmpl w:val="D42AE0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AF54E8B"/>
    <w:multiLevelType w:val="hybridMultilevel"/>
    <w:tmpl w:val="0038BD2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nsid w:val="7F2579AF"/>
    <w:multiLevelType w:val="hybridMultilevel"/>
    <w:tmpl w:val="255491CE"/>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3"/>
  </w:num>
  <w:num w:numId="2">
    <w:abstractNumId w:val="4"/>
  </w:num>
  <w:num w:numId="3">
    <w:abstractNumId w:val="2"/>
  </w:num>
  <w:num w:numId="4">
    <w:abstractNumId w:val="10"/>
  </w:num>
  <w:num w:numId="5">
    <w:abstractNumId w:val="20"/>
  </w:num>
  <w:num w:numId="6">
    <w:abstractNumId w:val="18"/>
  </w:num>
  <w:num w:numId="7">
    <w:abstractNumId w:val="5"/>
  </w:num>
  <w:num w:numId="8">
    <w:abstractNumId w:val="27"/>
  </w:num>
  <w:num w:numId="9">
    <w:abstractNumId w:val="8"/>
  </w:num>
  <w:num w:numId="10">
    <w:abstractNumId w:val="22"/>
  </w:num>
  <w:num w:numId="11">
    <w:abstractNumId w:val="1"/>
  </w:num>
  <w:num w:numId="12">
    <w:abstractNumId w:val="24"/>
  </w:num>
  <w:num w:numId="13">
    <w:abstractNumId w:val="23"/>
  </w:num>
  <w:num w:numId="14">
    <w:abstractNumId w:val="21"/>
  </w:num>
  <w:num w:numId="15">
    <w:abstractNumId w:val="11"/>
  </w:num>
  <w:num w:numId="16">
    <w:abstractNumId w:val="17"/>
  </w:num>
  <w:num w:numId="17">
    <w:abstractNumId w:val="15"/>
  </w:num>
  <w:num w:numId="18">
    <w:abstractNumId w:val="7"/>
  </w:num>
  <w:num w:numId="19">
    <w:abstractNumId w:val="25"/>
  </w:num>
  <w:num w:numId="20">
    <w:abstractNumId w:val="9"/>
  </w:num>
  <w:num w:numId="21">
    <w:abstractNumId w:val="16"/>
  </w:num>
  <w:num w:numId="22">
    <w:abstractNumId w:val="6"/>
  </w:num>
  <w:num w:numId="23">
    <w:abstractNumId w:val="0"/>
  </w:num>
  <w:num w:numId="24">
    <w:abstractNumId w:val="19"/>
  </w:num>
  <w:num w:numId="25">
    <w:abstractNumId w:val="26"/>
  </w:num>
  <w:num w:numId="26">
    <w:abstractNumId w:val="1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8A"/>
    <w:rsid w:val="0000106F"/>
    <w:rsid w:val="00013679"/>
    <w:rsid w:val="00021E9C"/>
    <w:rsid w:val="00025DB0"/>
    <w:rsid w:val="00042EDF"/>
    <w:rsid w:val="00056822"/>
    <w:rsid w:val="0006139E"/>
    <w:rsid w:val="00064247"/>
    <w:rsid w:val="00071F08"/>
    <w:rsid w:val="000A3768"/>
    <w:rsid w:val="000B13C7"/>
    <w:rsid w:val="000B2EA6"/>
    <w:rsid w:val="000B2F0B"/>
    <w:rsid w:val="000B5F6E"/>
    <w:rsid w:val="000E098E"/>
    <w:rsid w:val="000E4EED"/>
    <w:rsid w:val="00111E85"/>
    <w:rsid w:val="001171A7"/>
    <w:rsid w:val="001229F6"/>
    <w:rsid w:val="0013754E"/>
    <w:rsid w:val="00140821"/>
    <w:rsid w:val="001434DC"/>
    <w:rsid w:val="00172744"/>
    <w:rsid w:val="00177AF9"/>
    <w:rsid w:val="001A57CA"/>
    <w:rsid w:val="001B4A0B"/>
    <w:rsid w:val="001C45B1"/>
    <w:rsid w:val="001C7418"/>
    <w:rsid w:val="001D2B14"/>
    <w:rsid w:val="001D759E"/>
    <w:rsid w:val="001E05A4"/>
    <w:rsid w:val="00206D0E"/>
    <w:rsid w:val="0020712D"/>
    <w:rsid w:val="00216A4C"/>
    <w:rsid w:val="0021750C"/>
    <w:rsid w:val="002212ED"/>
    <w:rsid w:val="0022378D"/>
    <w:rsid w:val="002354D0"/>
    <w:rsid w:val="00244988"/>
    <w:rsid w:val="00257EA4"/>
    <w:rsid w:val="002748B8"/>
    <w:rsid w:val="00287583"/>
    <w:rsid w:val="00287D6A"/>
    <w:rsid w:val="002A153A"/>
    <w:rsid w:val="002B47D8"/>
    <w:rsid w:val="002C5DEE"/>
    <w:rsid w:val="002D2C33"/>
    <w:rsid w:val="002E447B"/>
    <w:rsid w:val="002E4DAB"/>
    <w:rsid w:val="002F4432"/>
    <w:rsid w:val="00312EE8"/>
    <w:rsid w:val="00317015"/>
    <w:rsid w:val="00320798"/>
    <w:rsid w:val="00320EF8"/>
    <w:rsid w:val="003323A9"/>
    <w:rsid w:val="00371B35"/>
    <w:rsid w:val="0037288B"/>
    <w:rsid w:val="003A7A90"/>
    <w:rsid w:val="003B4C9F"/>
    <w:rsid w:val="003B54D2"/>
    <w:rsid w:val="003B5924"/>
    <w:rsid w:val="003D269B"/>
    <w:rsid w:val="003D6A4D"/>
    <w:rsid w:val="003D7EB4"/>
    <w:rsid w:val="003E79AB"/>
    <w:rsid w:val="00401FF5"/>
    <w:rsid w:val="004033C8"/>
    <w:rsid w:val="00405566"/>
    <w:rsid w:val="00416333"/>
    <w:rsid w:val="00436FB0"/>
    <w:rsid w:val="00447E59"/>
    <w:rsid w:val="00455B56"/>
    <w:rsid w:val="0046765B"/>
    <w:rsid w:val="00471B02"/>
    <w:rsid w:val="00473A6A"/>
    <w:rsid w:val="00485C68"/>
    <w:rsid w:val="00491618"/>
    <w:rsid w:val="0049234B"/>
    <w:rsid w:val="00494408"/>
    <w:rsid w:val="004D3EB2"/>
    <w:rsid w:val="004E7154"/>
    <w:rsid w:val="00503FC9"/>
    <w:rsid w:val="00521314"/>
    <w:rsid w:val="0052249D"/>
    <w:rsid w:val="0052726D"/>
    <w:rsid w:val="00530735"/>
    <w:rsid w:val="00535BD6"/>
    <w:rsid w:val="0054018E"/>
    <w:rsid w:val="00575C4C"/>
    <w:rsid w:val="00580D28"/>
    <w:rsid w:val="00583832"/>
    <w:rsid w:val="00594EE5"/>
    <w:rsid w:val="005A0636"/>
    <w:rsid w:val="005B751F"/>
    <w:rsid w:val="005C0344"/>
    <w:rsid w:val="005C1005"/>
    <w:rsid w:val="005C1721"/>
    <w:rsid w:val="005F4AAF"/>
    <w:rsid w:val="00604881"/>
    <w:rsid w:val="00617A74"/>
    <w:rsid w:val="00623793"/>
    <w:rsid w:val="00626B0C"/>
    <w:rsid w:val="006537EA"/>
    <w:rsid w:val="006631E7"/>
    <w:rsid w:val="0067760A"/>
    <w:rsid w:val="00692324"/>
    <w:rsid w:val="006A40CC"/>
    <w:rsid w:val="006B3615"/>
    <w:rsid w:val="006C6BF1"/>
    <w:rsid w:val="006E6CCC"/>
    <w:rsid w:val="00707E3E"/>
    <w:rsid w:val="007227F6"/>
    <w:rsid w:val="00723DC0"/>
    <w:rsid w:val="007327EB"/>
    <w:rsid w:val="00781705"/>
    <w:rsid w:val="007A3B2F"/>
    <w:rsid w:val="007B1F98"/>
    <w:rsid w:val="007D58FE"/>
    <w:rsid w:val="007E1B7C"/>
    <w:rsid w:val="007E2AD9"/>
    <w:rsid w:val="007E3B94"/>
    <w:rsid w:val="007E7806"/>
    <w:rsid w:val="00811F28"/>
    <w:rsid w:val="008311BF"/>
    <w:rsid w:val="008420C4"/>
    <w:rsid w:val="00847A78"/>
    <w:rsid w:val="008568D8"/>
    <w:rsid w:val="00861075"/>
    <w:rsid w:val="00881283"/>
    <w:rsid w:val="008829AC"/>
    <w:rsid w:val="008B080F"/>
    <w:rsid w:val="008B2283"/>
    <w:rsid w:val="008B5A8E"/>
    <w:rsid w:val="008C2780"/>
    <w:rsid w:val="008C6EB5"/>
    <w:rsid w:val="008D6338"/>
    <w:rsid w:val="008E138F"/>
    <w:rsid w:val="009331D9"/>
    <w:rsid w:val="00944C16"/>
    <w:rsid w:val="00947242"/>
    <w:rsid w:val="009532FA"/>
    <w:rsid w:val="00961F5B"/>
    <w:rsid w:val="00964CD8"/>
    <w:rsid w:val="009713E2"/>
    <w:rsid w:val="009754D0"/>
    <w:rsid w:val="00980745"/>
    <w:rsid w:val="0098154A"/>
    <w:rsid w:val="009A2447"/>
    <w:rsid w:val="009A46FD"/>
    <w:rsid w:val="009B034A"/>
    <w:rsid w:val="009B24FE"/>
    <w:rsid w:val="009B3946"/>
    <w:rsid w:val="009B5583"/>
    <w:rsid w:val="009B55BC"/>
    <w:rsid w:val="009D31DB"/>
    <w:rsid w:val="009E0F45"/>
    <w:rsid w:val="009E2CDA"/>
    <w:rsid w:val="009E45AF"/>
    <w:rsid w:val="009E7490"/>
    <w:rsid w:val="00A15E8F"/>
    <w:rsid w:val="00A23EEA"/>
    <w:rsid w:val="00A32E8C"/>
    <w:rsid w:val="00A45D85"/>
    <w:rsid w:val="00A47809"/>
    <w:rsid w:val="00A47BFD"/>
    <w:rsid w:val="00A47F94"/>
    <w:rsid w:val="00A615DD"/>
    <w:rsid w:val="00A61E40"/>
    <w:rsid w:val="00A651F3"/>
    <w:rsid w:val="00A85B15"/>
    <w:rsid w:val="00AB1E2E"/>
    <w:rsid w:val="00AB4B8A"/>
    <w:rsid w:val="00AC4CC1"/>
    <w:rsid w:val="00AD26B7"/>
    <w:rsid w:val="00AF4F43"/>
    <w:rsid w:val="00B10D77"/>
    <w:rsid w:val="00B114A0"/>
    <w:rsid w:val="00B13503"/>
    <w:rsid w:val="00B2028D"/>
    <w:rsid w:val="00B2744D"/>
    <w:rsid w:val="00B52930"/>
    <w:rsid w:val="00B55DE0"/>
    <w:rsid w:val="00B71BFC"/>
    <w:rsid w:val="00B84AAA"/>
    <w:rsid w:val="00B8786C"/>
    <w:rsid w:val="00BB2115"/>
    <w:rsid w:val="00BF2AC5"/>
    <w:rsid w:val="00BF35EE"/>
    <w:rsid w:val="00BF53F9"/>
    <w:rsid w:val="00C104E6"/>
    <w:rsid w:val="00C167E1"/>
    <w:rsid w:val="00C21B30"/>
    <w:rsid w:val="00C271D8"/>
    <w:rsid w:val="00C272C7"/>
    <w:rsid w:val="00C27841"/>
    <w:rsid w:val="00C47CA6"/>
    <w:rsid w:val="00C52923"/>
    <w:rsid w:val="00C57E48"/>
    <w:rsid w:val="00C82697"/>
    <w:rsid w:val="00CA1FFA"/>
    <w:rsid w:val="00CA3E72"/>
    <w:rsid w:val="00CA5230"/>
    <w:rsid w:val="00CA67B1"/>
    <w:rsid w:val="00CA76ED"/>
    <w:rsid w:val="00CD0F1C"/>
    <w:rsid w:val="00CD7133"/>
    <w:rsid w:val="00CD740B"/>
    <w:rsid w:val="00D01C19"/>
    <w:rsid w:val="00D0665E"/>
    <w:rsid w:val="00D11B51"/>
    <w:rsid w:val="00D30E52"/>
    <w:rsid w:val="00D3134D"/>
    <w:rsid w:val="00D50337"/>
    <w:rsid w:val="00D56948"/>
    <w:rsid w:val="00D658CE"/>
    <w:rsid w:val="00D675E5"/>
    <w:rsid w:val="00D735E9"/>
    <w:rsid w:val="00D77AC8"/>
    <w:rsid w:val="00D81F81"/>
    <w:rsid w:val="00D92EA3"/>
    <w:rsid w:val="00D97A28"/>
    <w:rsid w:val="00DA534D"/>
    <w:rsid w:val="00DB3931"/>
    <w:rsid w:val="00DE06DB"/>
    <w:rsid w:val="00DE0C1C"/>
    <w:rsid w:val="00DE113F"/>
    <w:rsid w:val="00DE5DF4"/>
    <w:rsid w:val="00DF7C0A"/>
    <w:rsid w:val="00E015A3"/>
    <w:rsid w:val="00E03A85"/>
    <w:rsid w:val="00E048CB"/>
    <w:rsid w:val="00E16430"/>
    <w:rsid w:val="00E1652B"/>
    <w:rsid w:val="00E23ED4"/>
    <w:rsid w:val="00E377C4"/>
    <w:rsid w:val="00E53408"/>
    <w:rsid w:val="00E72863"/>
    <w:rsid w:val="00E75C16"/>
    <w:rsid w:val="00E75D96"/>
    <w:rsid w:val="00E80E31"/>
    <w:rsid w:val="00E84607"/>
    <w:rsid w:val="00E84FD8"/>
    <w:rsid w:val="00E95698"/>
    <w:rsid w:val="00EC5511"/>
    <w:rsid w:val="00EC6C8C"/>
    <w:rsid w:val="00ED64A5"/>
    <w:rsid w:val="00EF32C6"/>
    <w:rsid w:val="00F24702"/>
    <w:rsid w:val="00F5113A"/>
    <w:rsid w:val="00F5565E"/>
    <w:rsid w:val="00F7104C"/>
    <w:rsid w:val="00F81DD9"/>
    <w:rsid w:val="00F87900"/>
    <w:rsid w:val="00F9749E"/>
    <w:rsid w:val="00FA4690"/>
    <w:rsid w:val="00FA6A6F"/>
    <w:rsid w:val="00FB03C9"/>
    <w:rsid w:val="00FD4AB1"/>
    <w:rsid w:val="00FF0A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8A"/>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AB4B8A"/>
    <w:pPr>
      <w:keepNext/>
      <w:jc w:val="both"/>
      <w:outlineLvl w:val="1"/>
    </w:pPr>
    <w:rPr>
      <w:b/>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B4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AB4B8A"/>
    <w:pPr>
      <w:spacing w:after="120" w:line="480" w:lineRule="auto"/>
    </w:pPr>
  </w:style>
  <w:style w:type="character" w:customStyle="1" w:styleId="GvdeMetni2Char">
    <w:name w:val="Gövde Metni 2 Char"/>
    <w:basedOn w:val="VarsaylanParagrafYazTipi"/>
    <w:link w:val="GvdeMetni2"/>
    <w:uiPriority w:val="99"/>
    <w:rsid w:val="00AB4B8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B4B8A"/>
    <w:pPr>
      <w:ind w:left="720"/>
      <w:contextualSpacing/>
    </w:pPr>
  </w:style>
  <w:style w:type="character" w:customStyle="1" w:styleId="Balk2Char">
    <w:name w:val="Başlık 2 Char"/>
    <w:basedOn w:val="VarsaylanParagrafYazTipi"/>
    <w:link w:val="Balk2"/>
    <w:rsid w:val="00AB4B8A"/>
    <w:rPr>
      <w:rFonts w:ascii="Times New Roman" w:eastAsia="Times New Roman" w:hAnsi="Times New Roman" w:cs="Times New Roman"/>
      <w:b/>
      <w:bCs/>
      <w:sz w:val="24"/>
      <w:szCs w:val="24"/>
      <w:u w:val="single"/>
      <w:lang w:eastAsia="tr-TR"/>
    </w:rPr>
  </w:style>
  <w:style w:type="paragraph" w:customStyle="1" w:styleId="Default">
    <w:name w:val="Default"/>
    <w:rsid w:val="00AB4B8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rsid w:val="00AB4B8A"/>
    <w:pPr>
      <w:spacing w:before="100" w:beforeAutospacing="1" w:after="100" w:afterAutospacing="1"/>
    </w:pPr>
    <w:rPr>
      <w:rFonts w:ascii="Arial Unicode MS" w:hAnsi="Arial Unicode MS" w:cs="Arial Unicode MS"/>
      <w:lang w:val="en-US" w:eastAsia="en-US"/>
    </w:rPr>
  </w:style>
  <w:style w:type="paragraph" w:styleId="stbilgi">
    <w:name w:val="header"/>
    <w:basedOn w:val="Normal"/>
    <w:link w:val="stbilgiChar"/>
    <w:uiPriority w:val="99"/>
    <w:unhideWhenUsed/>
    <w:rsid w:val="00371B35"/>
    <w:pPr>
      <w:tabs>
        <w:tab w:val="center" w:pos="4536"/>
        <w:tab w:val="right" w:pos="9072"/>
      </w:tabs>
    </w:pPr>
  </w:style>
  <w:style w:type="character" w:customStyle="1" w:styleId="stbilgiChar">
    <w:name w:val="Üstbilgi Char"/>
    <w:basedOn w:val="VarsaylanParagrafYazTipi"/>
    <w:link w:val="stbilgi"/>
    <w:uiPriority w:val="99"/>
    <w:rsid w:val="00371B3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71B35"/>
    <w:pPr>
      <w:tabs>
        <w:tab w:val="center" w:pos="4536"/>
        <w:tab w:val="right" w:pos="9072"/>
      </w:tabs>
    </w:pPr>
  </w:style>
  <w:style w:type="character" w:customStyle="1" w:styleId="AltbilgiChar">
    <w:name w:val="Altbilgi Char"/>
    <w:basedOn w:val="VarsaylanParagrafYazTipi"/>
    <w:link w:val="Altbilgi"/>
    <w:uiPriority w:val="99"/>
    <w:rsid w:val="00371B35"/>
    <w:rPr>
      <w:rFonts w:ascii="Times New Roman" w:eastAsia="Times New Roman" w:hAnsi="Times New Roman" w:cs="Times New Roman"/>
      <w:sz w:val="24"/>
      <w:szCs w:val="24"/>
      <w:lang w:eastAsia="tr-TR"/>
    </w:rPr>
  </w:style>
  <w:style w:type="paragraph" w:customStyle="1" w:styleId="CharChar1">
    <w:name w:val="Char Char1"/>
    <w:basedOn w:val="Normal"/>
    <w:rsid w:val="00C104E6"/>
    <w:pPr>
      <w:spacing w:after="160" w:line="240" w:lineRule="exact"/>
    </w:pPr>
    <w:rPr>
      <w:rFonts w:ascii="Verdana" w:eastAsia="SimSun" w:hAnsi="Verdana"/>
      <w:sz w:val="20"/>
      <w:szCs w:val="20"/>
      <w:lang w:val="en-US" w:eastAsia="en-US"/>
    </w:rPr>
  </w:style>
  <w:style w:type="paragraph" w:customStyle="1" w:styleId="CharChar10">
    <w:name w:val="Char Char1"/>
    <w:basedOn w:val="Normal"/>
    <w:rsid w:val="00064247"/>
    <w:pPr>
      <w:spacing w:after="160" w:line="240" w:lineRule="exact"/>
    </w:pPr>
    <w:rPr>
      <w:rFonts w:ascii="Verdana" w:eastAsia="SimSun" w:hAnsi="Verdana"/>
      <w:sz w:val="20"/>
      <w:szCs w:val="20"/>
      <w:lang w:val="en-US" w:eastAsia="en-US"/>
    </w:rPr>
  </w:style>
  <w:style w:type="paragraph" w:styleId="BalonMetni">
    <w:name w:val="Balloon Text"/>
    <w:basedOn w:val="Normal"/>
    <w:link w:val="BalonMetniChar"/>
    <w:uiPriority w:val="99"/>
    <w:semiHidden/>
    <w:unhideWhenUsed/>
    <w:rsid w:val="00401FF5"/>
    <w:rPr>
      <w:rFonts w:ascii="Tahoma" w:hAnsi="Tahoma" w:cs="Tahoma"/>
      <w:sz w:val="16"/>
      <w:szCs w:val="16"/>
    </w:rPr>
  </w:style>
  <w:style w:type="character" w:customStyle="1" w:styleId="BalonMetniChar">
    <w:name w:val="Balon Metni Char"/>
    <w:basedOn w:val="VarsaylanParagrafYazTipi"/>
    <w:link w:val="BalonMetni"/>
    <w:uiPriority w:val="99"/>
    <w:semiHidden/>
    <w:rsid w:val="00401FF5"/>
    <w:rPr>
      <w:rFonts w:ascii="Tahoma" w:eastAsia="Times New Roman" w:hAnsi="Tahoma" w:cs="Tahoma"/>
      <w:sz w:val="16"/>
      <w:szCs w:val="16"/>
      <w:lang w:eastAsia="tr-TR"/>
    </w:rPr>
  </w:style>
  <w:style w:type="paragraph" w:styleId="GvdeMetniGirintisi">
    <w:name w:val="Body Text Indent"/>
    <w:basedOn w:val="Normal"/>
    <w:link w:val="GvdeMetniGirintisiChar"/>
    <w:uiPriority w:val="99"/>
    <w:semiHidden/>
    <w:unhideWhenUsed/>
    <w:rsid w:val="004D3EB2"/>
    <w:pPr>
      <w:spacing w:after="120"/>
      <w:ind w:left="283"/>
    </w:pPr>
  </w:style>
  <w:style w:type="character" w:customStyle="1" w:styleId="GvdeMetniGirintisiChar">
    <w:name w:val="Gövde Metni Girintisi Char"/>
    <w:basedOn w:val="VarsaylanParagrafYazTipi"/>
    <w:link w:val="GvdeMetniGirintisi"/>
    <w:uiPriority w:val="99"/>
    <w:semiHidden/>
    <w:rsid w:val="004D3EB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8A"/>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AB4B8A"/>
    <w:pPr>
      <w:keepNext/>
      <w:jc w:val="both"/>
      <w:outlineLvl w:val="1"/>
    </w:pPr>
    <w:rPr>
      <w:b/>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B4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AB4B8A"/>
    <w:pPr>
      <w:spacing w:after="120" w:line="480" w:lineRule="auto"/>
    </w:pPr>
  </w:style>
  <w:style w:type="character" w:customStyle="1" w:styleId="GvdeMetni2Char">
    <w:name w:val="Gövde Metni 2 Char"/>
    <w:basedOn w:val="VarsaylanParagrafYazTipi"/>
    <w:link w:val="GvdeMetni2"/>
    <w:uiPriority w:val="99"/>
    <w:rsid w:val="00AB4B8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B4B8A"/>
    <w:pPr>
      <w:ind w:left="720"/>
      <w:contextualSpacing/>
    </w:pPr>
  </w:style>
  <w:style w:type="character" w:customStyle="1" w:styleId="Balk2Char">
    <w:name w:val="Başlık 2 Char"/>
    <w:basedOn w:val="VarsaylanParagrafYazTipi"/>
    <w:link w:val="Balk2"/>
    <w:rsid w:val="00AB4B8A"/>
    <w:rPr>
      <w:rFonts w:ascii="Times New Roman" w:eastAsia="Times New Roman" w:hAnsi="Times New Roman" w:cs="Times New Roman"/>
      <w:b/>
      <w:bCs/>
      <w:sz w:val="24"/>
      <w:szCs w:val="24"/>
      <w:u w:val="single"/>
      <w:lang w:eastAsia="tr-TR"/>
    </w:rPr>
  </w:style>
  <w:style w:type="paragraph" w:customStyle="1" w:styleId="Default">
    <w:name w:val="Default"/>
    <w:rsid w:val="00AB4B8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rsid w:val="00AB4B8A"/>
    <w:pPr>
      <w:spacing w:before="100" w:beforeAutospacing="1" w:after="100" w:afterAutospacing="1"/>
    </w:pPr>
    <w:rPr>
      <w:rFonts w:ascii="Arial Unicode MS" w:hAnsi="Arial Unicode MS" w:cs="Arial Unicode MS"/>
      <w:lang w:val="en-US" w:eastAsia="en-US"/>
    </w:rPr>
  </w:style>
  <w:style w:type="paragraph" w:styleId="stbilgi">
    <w:name w:val="header"/>
    <w:basedOn w:val="Normal"/>
    <w:link w:val="stbilgiChar"/>
    <w:uiPriority w:val="99"/>
    <w:unhideWhenUsed/>
    <w:rsid w:val="00371B35"/>
    <w:pPr>
      <w:tabs>
        <w:tab w:val="center" w:pos="4536"/>
        <w:tab w:val="right" w:pos="9072"/>
      </w:tabs>
    </w:pPr>
  </w:style>
  <w:style w:type="character" w:customStyle="1" w:styleId="stbilgiChar">
    <w:name w:val="Üstbilgi Char"/>
    <w:basedOn w:val="VarsaylanParagrafYazTipi"/>
    <w:link w:val="stbilgi"/>
    <w:uiPriority w:val="99"/>
    <w:rsid w:val="00371B3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71B35"/>
    <w:pPr>
      <w:tabs>
        <w:tab w:val="center" w:pos="4536"/>
        <w:tab w:val="right" w:pos="9072"/>
      </w:tabs>
    </w:pPr>
  </w:style>
  <w:style w:type="character" w:customStyle="1" w:styleId="AltbilgiChar">
    <w:name w:val="Altbilgi Char"/>
    <w:basedOn w:val="VarsaylanParagrafYazTipi"/>
    <w:link w:val="Altbilgi"/>
    <w:uiPriority w:val="99"/>
    <w:rsid w:val="00371B35"/>
    <w:rPr>
      <w:rFonts w:ascii="Times New Roman" w:eastAsia="Times New Roman" w:hAnsi="Times New Roman" w:cs="Times New Roman"/>
      <w:sz w:val="24"/>
      <w:szCs w:val="24"/>
      <w:lang w:eastAsia="tr-TR"/>
    </w:rPr>
  </w:style>
  <w:style w:type="paragraph" w:customStyle="1" w:styleId="CharChar1">
    <w:name w:val="Char Char1"/>
    <w:basedOn w:val="Normal"/>
    <w:rsid w:val="00C104E6"/>
    <w:pPr>
      <w:spacing w:after="160" w:line="240" w:lineRule="exact"/>
    </w:pPr>
    <w:rPr>
      <w:rFonts w:ascii="Verdana" w:eastAsia="SimSun" w:hAnsi="Verdana"/>
      <w:sz w:val="20"/>
      <w:szCs w:val="20"/>
      <w:lang w:val="en-US" w:eastAsia="en-US"/>
    </w:rPr>
  </w:style>
  <w:style w:type="paragraph" w:customStyle="1" w:styleId="CharChar10">
    <w:name w:val="Char Char1"/>
    <w:basedOn w:val="Normal"/>
    <w:rsid w:val="00064247"/>
    <w:pPr>
      <w:spacing w:after="160" w:line="240" w:lineRule="exact"/>
    </w:pPr>
    <w:rPr>
      <w:rFonts w:ascii="Verdana" w:eastAsia="SimSun" w:hAnsi="Verdana"/>
      <w:sz w:val="20"/>
      <w:szCs w:val="20"/>
      <w:lang w:val="en-US" w:eastAsia="en-US"/>
    </w:rPr>
  </w:style>
  <w:style w:type="paragraph" w:styleId="BalonMetni">
    <w:name w:val="Balloon Text"/>
    <w:basedOn w:val="Normal"/>
    <w:link w:val="BalonMetniChar"/>
    <w:uiPriority w:val="99"/>
    <w:semiHidden/>
    <w:unhideWhenUsed/>
    <w:rsid w:val="00401FF5"/>
    <w:rPr>
      <w:rFonts w:ascii="Tahoma" w:hAnsi="Tahoma" w:cs="Tahoma"/>
      <w:sz w:val="16"/>
      <w:szCs w:val="16"/>
    </w:rPr>
  </w:style>
  <w:style w:type="character" w:customStyle="1" w:styleId="BalonMetniChar">
    <w:name w:val="Balon Metni Char"/>
    <w:basedOn w:val="VarsaylanParagrafYazTipi"/>
    <w:link w:val="BalonMetni"/>
    <w:uiPriority w:val="99"/>
    <w:semiHidden/>
    <w:rsid w:val="00401FF5"/>
    <w:rPr>
      <w:rFonts w:ascii="Tahoma" w:eastAsia="Times New Roman" w:hAnsi="Tahoma" w:cs="Tahoma"/>
      <w:sz w:val="16"/>
      <w:szCs w:val="16"/>
      <w:lang w:eastAsia="tr-TR"/>
    </w:rPr>
  </w:style>
  <w:style w:type="paragraph" w:styleId="GvdeMetniGirintisi">
    <w:name w:val="Body Text Indent"/>
    <w:basedOn w:val="Normal"/>
    <w:link w:val="GvdeMetniGirintisiChar"/>
    <w:uiPriority w:val="99"/>
    <w:semiHidden/>
    <w:unhideWhenUsed/>
    <w:rsid w:val="004D3EB2"/>
    <w:pPr>
      <w:spacing w:after="120"/>
      <w:ind w:left="283"/>
    </w:pPr>
  </w:style>
  <w:style w:type="character" w:customStyle="1" w:styleId="GvdeMetniGirintisiChar">
    <w:name w:val="Gövde Metni Girintisi Char"/>
    <w:basedOn w:val="VarsaylanParagrafYazTipi"/>
    <w:link w:val="GvdeMetniGirintisi"/>
    <w:uiPriority w:val="99"/>
    <w:semiHidden/>
    <w:rsid w:val="004D3EB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8107">
      <w:bodyDiv w:val="1"/>
      <w:marLeft w:val="0"/>
      <w:marRight w:val="0"/>
      <w:marTop w:val="0"/>
      <w:marBottom w:val="0"/>
      <w:divBdr>
        <w:top w:val="none" w:sz="0" w:space="0" w:color="auto"/>
        <w:left w:val="none" w:sz="0" w:space="0" w:color="auto"/>
        <w:bottom w:val="none" w:sz="0" w:space="0" w:color="auto"/>
        <w:right w:val="none" w:sz="0" w:space="0" w:color="auto"/>
      </w:divBdr>
    </w:div>
    <w:div w:id="109982762">
      <w:bodyDiv w:val="1"/>
      <w:marLeft w:val="0"/>
      <w:marRight w:val="0"/>
      <w:marTop w:val="0"/>
      <w:marBottom w:val="0"/>
      <w:divBdr>
        <w:top w:val="none" w:sz="0" w:space="0" w:color="auto"/>
        <w:left w:val="none" w:sz="0" w:space="0" w:color="auto"/>
        <w:bottom w:val="none" w:sz="0" w:space="0" w:color="auto"/>
        <w:right w:val="none" w:sz="0" w:space="0" w:color="auto"/>
      </w:divBdr>
    </w:div>
    <w:div w:id="345786686">
      <w:bodyDiv w:val="1"/>
      <w:marLeft w:val="0"/>
      <w:marRight w:val="0"/>
      <w:marTop w:val="0"/>
      <w:marBottom w:val="0"/>
      <w:divBdr>
        <w:top w:val="none" w:sz="0" w:space="0" w:color="auto"/>
        <w:left w:val="none" w:sz="0" w:space="0" w:color="auto"/>
        <w:bottom w:val="none" w:sz="0" w:space="0" w:color="auto"/>
        <w:right w:val="none" w:sz="0" w:space="0" w:color="auto"/>
      </w:divBdr>
    </w:div>
    <w:div w:id="640891374">
      <w:bodyDiv w:val="1"/>
      <w:marLeft w:val="0"/>
      <w:marRight w:val="0"/>
      <w:marTop w:val="0"/>
      <w:marBottom w:val="0"/>
      <w:divBdr>
        <w:top w:val="none" w:sz="0" w:space="0" w:color="auto"/>
        <w:left w:val="none" w:sz="0" w:space="0" w:color="auto"/>
        <w:bottom w:val="none" w:sz="0" w:space="0" w:color="auto"/>
        <w:right w:val="none" w:sz="0" w:space="0" w:color="auto"/>
      </w:divBdr>
    </w:div>
    <w:div w:id="1047485132">
      <w:bodyDiv w:val="1"/>
      <w:marLeft w:val="0"/>
      <w:marRight w:val="0"/>
      <w:marTop w:val="0"/>
      <w:marBottom w:val="0"/>
      <w:divBdr>
        <w:top w:val="none" w:sz="0" w:space="0" w:color="auto"/>
        <w:left w:val="none" w:sz="0" w:space="0" w:color="auto"/>
        <w:bottom w:val="none" w:sz="0" w:space="0" w:color="auto"/>
        <w:right w:val="none" w:sz="0" w:space="0" w:color="auto"/>
      </w:divBdr>
    </w:div>
    <w:div w:id="1199661944">
      <w:bodyDiv w:val="1"/>
      <w:marLeft w:val="0"/>
      <w:marRight w:val="0"/>
      <w:marTop w:val="0"/>
      <w:marBottom w:val="0"/>
      <w:divBdr>
        <w:top w:val="none" w:sz="0" w:space="0" w:color="auto"/>
        <w:left w:val="none" w:sz="0" w:space="0" w:color="auto"/>
        <w:bottom w:val="none" w:sz="0" w:space="0" w:color="auto"/>
        <w:right w:val="none" w:sz="0" w:space="0" w:color="auto"/>
      </w:divBdr>
    </w:div>
    <w:div w:id="1306666029">
      <w:bodyDiv w:val="1"/>
      <w:marLeft w:val="0"/>
      <w:marRight w:val="0"/>
      <w:marTop w:val="0"/>
      <w:marBottom w:val="0"/>
      <w:divBdr>
        <w:top w:val="none" w:sz="0" w:space="0" w:color="auto"/>
        <w:left w:val="none" w:sz="0" w:space="0" w:color="auto"/>
        <w:bottom w:val="none" w:sz="0" w:space="0" w:color="auto"/>
        <w:right w:val="none" w:sz="0" w:space="0" w:color="auto"/>
      </w:divBdr>
    </w:div>
    <w:div w:id="1651864596">
      <w:bodyDiv w:val="1"/>
      <w:marLeft w:val="0"/>
      <w:marRight w:val="0"/>
      <w:marTop w:val="0"/>
      <w:marBottom w:val="0"/>
      <w:divBdr>
        <w:top w:val="none" w:sz="0" w:space="0" w:color="auto"/>
        <w:left w:val="none" w:sz="0" w:space="0" w:color="auto"/>
        <w:bottom w:val="none" w:sz="0" w:space="0" w:color="auto"/>
        <w:right w:val="none" w:sz="0" w:space="0" w:color="auto"/>
      </w:divBdr>
    </w:div>
    <w:div w:id="1693915331">
      <w:bodyDiv w:val="1"/>
      <w:marLeft w:val="0"/>
      <w:marRight w:val="0"/>
      <w:marTop w:val="0"/>
      <w:marBottom w:val="0"/>
      <w:divBdr>
        <w:top w:val="none" w:sz="0" w:space="0" w:color="auto"/>
        <w:left w:val="none" w:sz="0" w:space="0" w:color="auto"/>
        <w:bottom w:val="none" w:sz="0" w:space="0" w:color="auto"/>
        <w:right w:val="none" w:sz="0" w:space="0" w:color="auto"/>
      </w:divBdr>
    </w:div>
    <w:div w:id="1930693048">
      <w:bodyDiv w:val="1"/>
      <w:marLeft w:val="0"/>
      <w:marRight w:val="0"/>
      <w:marTop w:val="0"/>
      <w:marBottom w:val="0"/>
      <w:divBdr>
        <w:top w:val="none" w:sz="0" w:space="0" w:color="auto"/>
        <w:left w:val="none" w:sz="0" w:space="0" w:color="auto"/>
        <w:bottom w:val="none" w:sz="0" w:space="0" w:color="auto"/>
        <w:right w:val="none" w:sz="0" w:space="0" w:color="auto"/>
      </w:divBdr>
    </w:div>
    <w:div w:id="1977642295">
      <w:bodyDiv w:val="1"/>
      <w:marLeft w:val="0"/>
      <w:marRight w:val="0"/>
      <w:marTop w:val="0"/>
      <w:marBottom w:val="0"/>
      <w:divBdr>
        <w:top w:val="none" w:sz="0" w:space="0" w:color="auto"/>
        <w:left w:val="none" w:sz="0" w:space="0" w:color="auto"/>
        <w:bottom w:val="none" w:sz="0" w:space="0" w:color="auto"/>
        <w:right w:val="none" w:sz="0" w:space="0" w:color="auto"/>
      </w:divBdr>
    </w:div>
    <w:div w:id="20302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1</Pages>
  <Words>3945</Words>
  <Characters>22490</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İnaneri</dc:creator>
  <cp:lastModifiedBy>Gözde  İnaneri</cp:lastModifiedBy>
  <cp:revision>58</cp:revision>
  <cp:lastPrinted>2018-01-08T15:25:00Z</cp:lastPrinted>
  <dcterms:created xsi:type="dcterms:W3CDTF">2017-06-01T15:22:00Z</dcterms:created>
  <dcterms:modified xsi:type="dcterms:W3CDTF">2018-01-08T16:30:00Z</dcterms:modified>
</cp:coreProperties>
</file>